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color w:val="1B3C65"/>
          <w:sz w:val="28"/>
          <w:szCs w:val="28"/>
        </w:rPr>
        <w:t xml:space="preserve">SYSTEM SECURITY PLAN LANGUAGE</w:t>
      </w:r>
      <w:r>
        <w:rPr>
          <w:rFonts w:ascii="Arial" w:cs="Arial" w:eastAsia="Arial" w:hAnsi="Arial"/>
          <w:color w:val="5F6F82"/>
          <w:sz w:val="18"/>
          <w:szCs w:val="18"/>
        </w:rPr>
        <w:t xml:space="preserve">   Media protection for CUI</w:t>
      </w:r>
    </w:p>
    <w:p>
      <w:pPr>
        <w:pBdr>
          <w:bottom w:val="single" w:color="F5B301" w:sz="8" w:space="4"/>
        </w:pBdr>
        <w:spacing w:after="120"/>
      </w:pPr>
      <w:r>
        <w:rPr>
          <w:rFonts w:ascii="Arial" w:cs="Arial" w:eastAsia="Arial" w:hAnsi="Arial"/>
          <w:color w:val="5F6F82"/>
          <w:sz w:val="16"/>
          <w:szCs w:val="16"/>
        </w:rPr>
        <w:t xml:space="preserve">NIST SP 800-171 Rev. 2 family 3.8 and requirement 3.7.3 (Rev. 3 numbers in parentheses). Vendor-neutral template prepared by Mansfield Technologies. Version 1.1, September 2026.</w:t>
      </w:r>
    </w:p>
    <w:p>
      <w:pPr>
        <w:spacing w:after="80" w:before="200"/>
      </w:pPr>
      <w:r>
        <w:rPr>
          <w:rFonts w:ascii="Arial" w:cs="Arial" w:eastAsia="Arial" w:hAnsi="Arial"/>
          <w:b/>
          <w:bCs/>
          <w:color w:val="1B3C65"/>
          <w:sz w:val="24"/>
          <w:szCs w:val="24"/>
        </w:rPr>
        <w:t xml:space="preserve">How to use this document</w:t>
      </w:r>
    </w:p>
    <w:p>
      <w:pPr>
        <w:spacing w:after="100" w:line="264"/>
      </w:pPr>
      <w:r>
        <w:rPr>
          <w:rFonts w:ascii="Arial" w:cs="Arial" w:eastAsia="Arial" w:hAnsi="Arial"/>
          <w:color w:val="0E2140"/>
          <w:sz w:val="19"/>
          <w:szCs w:val="19"/>
        </w:rPr>
        <w:t xml:space="preserve">A System Security Plan describes how your organization implements each NIST SP 800-171 requirement. The statements below are written in the first person for your organization to adopt, with bracketed items to fill in. They are written vendor-neutral: [destruction vendor] is a placeholder for whichever provider you use, and every statement is only defensible if it describes what you actually do. Edit anything that does not match your practice before an assessor sees it. CMMC assessments currently use Rev. 2 numbering; Rev. 3 numbers are given for organizations that have moved to it. This is a template, not legal or assessment advice.</w:t>
      </w:r>
    </w:p>
    <w:p>
      <w:pPr>
        <w:spacing w:after="100" w:line="264"/>
      </w:pPr>
      <w:r>
        <w:rPr>
          <w:rFonts w:ascii="Arial" w:cs="Arial" w:eastAsia="Arial" w:hAnsi="Arial"/>
          <w:b/>
          <w:bCs/>
          <w:color w:val="0E2140"/>
          <w:sz w:val="19"/>
          <w:szCs w:val="19"/>
        </w:rPr>
        <w:t xml:space="preserve">Companion documents on our site: </w:t>
      </w:r>
      <w:r>
        <w:rPr>
          <w:rFonts w:ascii="Arial" w:cs="Arial" w:eastAsia="Arial" w:hAnsi="Arial"/>
          <w:color w:val="0E2140"/>
          <w:sz w:val="19"/>
          <w:szCs w:val="19"/>
        </w:rPr>
        <w:t xml:space="preserve">the Media Protection Policy template (High categorization edition), the CUI Media Disposal Record spreadsheet, the sample Certificate of Destruction, and the Business Associate Agreement where PHI is also involved. The disposal record is the log the statements below refer to as “the media log.”</w:t>
      </w:r>
    </w:p>
    <w:p>
      <w:pPr>
        <w:spacing w:after="80" w:before="200"/>
      </w:pPr>
      <w:r>
        <w:rPr>
          <w:rFonts w:ascii="Arial" w:cs="Arial" w:eastAsia="Arial" w:hAnsi="Arial"/>
          <w:b/>
          <w:bCs/>
          <w:color w:val="1B3C65"/>
          <w:sz w:val="24"/>
          <w:szCs w:val="24"/>
        </w:rPr>
        <w:t xml:space="preserve">Categorization statement (add to the SSP's system description)</w:t>
      </w:r>
    </w:p>
    <w:p>
      <w:pPr>
        <w:spacing w:after="100" w:line="264"/>
      </w:pPr>
      <w:r>
        <w:rPr>
          <w:rFonts w:ascii="Arial" w:cs="Arial" w:eastAsia="Arial" w:hAnsi="Arial"/>
          <w:b/>
          <w:bCs/>
          <w:color w:val="0E2140"/>
          <w:sz w:val="19"/>
          <w:szCs w:val="19"/>
        </w:rPr>
        <w:t xml:space="preserve">Suggested language. </w:t>
      </w:r>
      <w:r>
        <w:rPr>
          <w:rFonts w:ascii="Arial" w:cs="Arial" w:eastAsia="Arial" w:hAnsi="Arial"/>
          <w:color w:val="0E2140"/>
          <w:sz w:val="19"/>
          <w:szCs w:val="19"/>
        </w:rPr>
        <w:t xml:space="preserve">“CUI processed, stored, or transmitted by this system is protected at no less than the Moderate confidentiality impact level, as 32 CFR 2002.14(g) requires. As an internal risk-management decision, [Organization] applies the High confidentiality impact level to the sanitization and destruction of media that has held CUI. This exceeds the Moderate floor and is expressly permitted: 32 CFR 2002.14(a)(2) provides that safeguards used for classified information are sufficient for CUI, and 32 CFR 2002.14(f)(2)(ii) accepts any destruction method approved for classified national security information. Methods follow NIST SP 800-88 and NSA media destruction guidance (NSA/CSS Policy Manual 9-12 and the Evaluated Products Lists), the two references named in the Defense Counterintelligence and Security Agency’s Guidance for Destroying Controlled Unclassified Information (July 2022). Where that guidance cites SP 800-88 Rev. 1, [Organization] applies Rev. 2, which superseded it in September 2025 and is the successor guidance contemplated by 32 CFR 2002.14(f)(2). This election governs sanitization only; it does not alter the categorization assigned to the CUI by the designating agency.”</w:t>
      </w:r>
    </w:p>
    <w:p>
      <w:pPr>
        <w:spacing w:after="100" w:line="264"/>
      </w:pPr>
      <w:r>
        <w:rPr>
          <w:rFonts w:ascii="Arial" w:cs="Arial" w:eastAsia="Arial" w:hAnsi="Arial"/>
          <w:b/>
          <w:bCs/>
          <w:color w:val="0E2140"/>
          <w:sz w:val="19"/>
          <w:szCs w:val="19"/>
        </w:rPr>
        <w:t xml:space="preserve">Why it is written this way. </w:t>
      </w:r>
      <w:r>
        <w:rPr>
          <w:rFonts w:ascii="Arial" w:cs="Arial" w:eastAsia="Arial" w:hAnsi="Arial"/>
          <w:color w:val="0E2140"/>
          <w:sz w:val="19"/>
          <w:szCs w:val="19"/>
        </w:rPr>
        <w:t xml:space="preserve">DCSA guidance names the methods; it does not set a categorization. The regulation sets Moderate as a minimum and allows more. Stating the High election as your own decision, with the two regulatory clauses that permit it, gives an assessor nothing to dispute and gives you a documented reason for every destruction choice that follows.</w:t>
      </w:r>
    </w:p>
    <w:p>
      <w:pPr>
        <w:spacing w:after="80" w:before="200"/>
      </w:pPr>
      <w:r>
        <w:rPr>
          <w:rFonts w:ascii="Arial" w:cs="Arial" w:eastAsia="Arial" w:hAnsi="Arial"/>
          <w:b/>
          <w:bCs/>
          <w:color w:val="1B3C65"/>
          <w:sz w:val="24"/>
          <w:szCs w:val="24"/>
        </w:rPr>
        <w:t xml:space="preserve">Media protection requirements</w:t>
      </w:r>
    </w:p>
    <w:p>
      <w:pPr>
        <w:spacing w:after="60" w:before="160"/>
      </w:pPr>
      <w:r>
        <w:rPr>
          <w:rFonts w:ascii="Arial" w:cs="Arial" w:eastAsia="Arial" w:hAnsi="Arial"/>
          <w:b/>
          <w:bCs/>
          <w:color w:val="1B3C65"/>
          <w:sz w:val="21"/>
          <w:szCs w:val="21"/>
        </w:rPr>
        <w:t xml:space="preserve">3.8.1 (03.08.01)  Protect (physically control and securely store) system media containing CUI, both paper and digital.</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Physically control and securely store system media containing CUI.</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[Organization] inventories every storage component that can hold CUI by serial number at deployment, records the parent asset tag, and labels removed media with its serial and CUI marking. Media in service is reconciled against the inventory quarterly and staged media monthly by [Title]; a mismatch is handled as a security incident. Removed media is stored in [locked room or cabinet] with a current access list limited to authorized employees and, when present, the escorted destruction vendor, in containers closed with numbered tamper-evident seals, and is destroyed within 30 days of leaving service under 3.8.3 so that CUI does not accumulate awaiting destruction. Two people are present for every removal and both are recorded on the media log. These practices implement the DCSA CUI destruction guidance for securing CUI while it awaits destruction, limiting time before destruction, restricting interim storage to authorized employees and vendors, and ensuring material is not misplaced.</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Media Protection Policy; media inventory; media log with two names per removal; reconciliation sign-offs; access list for the storage location; seal register.</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3.8.1[a] paper and digital media containing CUI is physically controlled; 3.8.1[b] paper and digital media containing CUI is securely stored.</w:t>
            </w:r>
          </w:p>
        </w:tc>
      </w:tr>
    </w:tbl>
    <w:p>
      <w:pPr>
        <w:spacing w:after="60"/>
      </w:pPr>
    </w:p>
    <w:p>
      <w:pPr>
        <w:spacing w:after="60" w:before="160"/>
      </w:pPr>
      <w:r>
        <w:rPr>
          <w:rFonts w:ascii="Arial" w:cs="Arial" w:eastAsia="Arial" w:hAnsi="Arial"/>
          <w:b/>
          <w:bCs/>
          <w:color w:val="1B3C65"/>
          <w:sz w:val="21"/>
          <w:szCs w:val="21"/>
        </w:rPr>
        <w:t xml:space="preserve">3.8.2 (03.08.02)  Limit access to CUI on system media to authorized users.</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Limit access to CUI on system media to authorized users.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Access to the media storage location is limited to [roles] on the access list maintained by [Title] and reviewed [quarterly]. Media is issued and returned through the media log. Destruction vendors never take custody of CUI media without [Organization] personnel present: on-site destruction is witnessed by [Title or role], and mailed media is sealed by [Organization] and tracked door to door under 3.8.5.</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Access list and review records; media log entries showing issue and return; witness signatures on destruction records.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3.8.2[a] access to CUI on system media is limited to authorized users.</w:t>
            </w:r>
          </w:p>
        </w:tc>
      </w:tr>
    </w:tbl>
    <w:p>
      <w:pPr>
        <w:spacing w:after="60"/>
      </w:pPr>
    </w:p>
    <w:p>
      <w:pPr>
        <w:spacing w:after="60" w:before="160"/>
      </w:pPr>
      <w:r>
        <w:rPr>
          <w:rFonts w:ascii="Arial" w:cs="Arial" w:eastAsia="Arial" w:hAnsi="Arial"/>
          <w:b/>
          <w:bCs/>
          <w:color w:val="1B3C65"/>
          <w:sz w:val="21"/>
          <w:szCs w:val="21"/>
        </w:rPr>
        <w:t xml:space="preserve">3.8.3 (03.08.03)  Sanitize or destroy system media containing CUI before disposal or release for reuse.</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Sanitize or destroy system media containing CUI before disposal or release for reuse (Rev. 3 adds: or release out of organizational control).</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Media that has held CUI is not reused outside [Organization] and is not released for disposal until it has been destroyed. Destruction follows NIST SP 800-88 Rev. 2 at the High categorization elected above: magnetic hard drives and tapes are degaussed on a degausser matched to the media coercivity and then shredded or deformed; solid-state media (SSDs, M.2 and NVMe cards, flash, phones, tablets, circuit boards) is disintegrated to particles of 2 mm or smaller; hybrid drives have their solid-state boards separated and disintegrated. Degaussing alone and software-only purge are not accepted for media leaving our control. Particle size follows the DCSA principle that the end product must be small enough to give reasonable assurance, in proportion to the data’s confidentiality, that it cannot be reconstructed; destroyed material is mixed with other destroyed material of the same type before recycling. Paper CUI is destroyed to the DCSA and ISOO specification: cross-cut to 1 mm by 5 mm particles or smaller, or disintegrated through a 3/32-inch screen, by [organization or paper destruction vendor].</w:t>
            </w:r>
          </w:p>
          <w:p>
            <w:pPr>
              <w:spacing w:after="40" w:line="250"/>
            </w:pPr>
            <w:r>
              <w:rPr>
                <w:rFonts w:ascii="Arial" w:cs="Arial" w:eastAsia="Arial" w:hAnsi="Arial"/>
                <w:b w:val="false"/>
                <w:bCs w:val="false"/>
                <w:color w:val="0E2140"/>
                <w:sz w:val="17"/>
                <w:szCs w:val="17"/>
              </w:rPr>
              <w:t xml:space="preserve">Destruction is performed by [destruction vendor], whose degausser and solid-state disintegrator are listed on the NSA/CSS Evaluated Products Lists by model number, either at [Organization]'s facility, witnessed by [Title or role], or for small quantities by tracked shipment to the vendor under 3.8.5. Every item is verified (remnants inspected, equipment identified) and validated by [Title] as meeting this policy; this is the validation and quality-control process the DCSA guidance requires, applied on an [inspection timeline, e.g., every job] basis. The vendor issues a digitally signed Certificate of Destruction and a serial-level media log recording manufacturer, model, serial, media type, source, method, technique, equipment, date, two technicians, seal numbers, [Organization]'s approving witness, data category, and downstream recycler, which satisfies the documentation in Rev. 2 section 4.6. Devices found to contain no media are opened, inspected, and logged as “none found.” Certificates and logs are retained for [six] years with this SSP, and every step of the process, from removal to recycling, is documented in the Media Protection Policy and the media log as the DCSA guidance requires.</w:t>
            </w:r>
          </w:p>
          <w:p>
            <w:pPr>
              <w:spacing w:after="40" w:line="250"/>
            </w:pPr>
            <w:r>
              <w:rPr>
                <w:rFonts w:ascii="Arial" w:cs="Arial" w:eastAsia="Arial" w:hAnsi="Arial"/>
                <w:b w:val="false"/>
                <w:bCs w:val="false"/>
                <w:color w:val="0E2140"/>
                <w:sz w:val="17"/>
                <w:szCs w:val="17"/>
              </w:rPr>
              <w:t xml:space="preserve">Media reused inside [Organization] is purged using a media-specific technique per IEEE 2883, verified per device, before reassignment; media that fails verification is destroyed.</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Media Protection Policy; CUI Media Disposal Record; Certificates of Destruction and media logs; witness signatures; the vendor's equipment model numbers and their EPL listings; particle-size acceptance criterion and inspection records; paper destruction certificates showing particle size; purge tool records for any internal reuse.</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3.8.3[a] system media containing CUI is sanitized or destroyed before disposal; 3.8.3[b] system media containing CUI is sanitized before it is released for reuse.</w:t>
            </w:r>
          </w:p>
        </w:tc>
      </w:tr>
    </w:tbl>
    <w:p>
      <w:pPr>
        <w:spacing w:after="60"/>
      </w:pPr>
    </w:p>
    <w:p>
      <w:pPr>
        <w:spacing w:after="60" w:before="160"/>
      </w:pPr>
      <w:r>
        <w:rPr>
          <w:rFonts w:ascii="Arial" w:cs="Arial" w:eastAsia="Arial" w:hAnsi="Arial"/>
          <w:b/>
          <w:bCs/>
          <w:color w:val="1B3C65"/>
          <w:sz w:val="21"/>
          <w:szCs w:val="21"/>
        </w:rPr>
        <w:t xml:space="preserve">3.8.4 (03.08.04)  Mark media with necessary CUI markings and distribution limitations.</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Mark media with necessary CUI markings and distribution limitations.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[Organization] marks media containing CUI with the CUI designation indicator and any limited dissemination control at the time the media is created or the CUI is first stored on it, and marks removed storage components with the same designation and the media serial before staging. Markings remain until the media is destroyed. The media log carries the data category for every item so the destruction method is matched to the marking.</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Marking procedure; photographs of marked media in staging; media log data-category column.</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3.8.4[a] media containing CUI is marked with applicable CUI markings; 3.8.4[b] media containing CUI is marked with distribution limitations.</w:t>
            </w:r>
          </w:p>
        </w:tc>
      </w:tr>
    </w:tbl>
    <w:p>
      <w:pPr>
        <w:spacing w:after="60"/>
      </w:pPr>
    </w:p>
    <w:p>
      <w:pPr>
        <w:spacing w:after="60" w:before="160"/>
      </w:pPr>
      <w:r>
        <w:rPr>
          <w:rFonts w:ascii="Arial" w:cs="Arial" w:eastAsia="Arial" w:hAnsi="Arial"/>
          <w:b/>
          <w:bCs/>
          <w:color w:val="1B3C65"/>
          <w:sz w:val="21"/>
          <w:szCs w:val="21"/>
        </w:rPr>
        <w:t xml:space="preserve">3.8.5 (03.08.05)  Control access to media containing CUI and maintain accountability for media during transport outside of controlled areas.</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Control access to media containing CUI and maintain accountability during transport outside controlled areas.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CUI media leaves [Organization]'s controlled area only for destruction. Physical safeguarding is maintained at every stage the DCSA guidance names: consolidation, pick-up, transport, any interim location, the destruction site, and recycling of the remains. It travels in containers closed with numbered tamper-evident seals, with the seal numbers, item serials, courier or carrier, tracking number, and the names of the sender and the receiving custodian recorded on the media log before departure. For mail-in destruction shipments, CUI is unclassified and may travel by tracked carrier under 32 CFR 2002; the vendor photographs the sealed package on arrival and records the seal numbers before opening, and the certificate references them. Classified media is never transported under this procedure.</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Seal register; carrier tracking records; vendor arrival photographs and certificate seal references.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3.8.5[a] access to media containing CUI is controlled; 3.8.5[b] accountability for media containing CUI is maintained during transport outside controlled areas.</w:t>
            </w:r>
          </w:p>
        </w:tc>
      </w:tr>
    </w:tbl>
    <w:p>
      <w:pPr>
        <w:spacing w:after="60"/>
      </w:pPr>
    </w:p>
    <w:p>
      <w:pPr>
        <w:spacing w:after="60" w:before="160"/>
      </w:pPr>
      <w:r>
        <w:rPr>
          <w:rFonts w:ascii="Arial" w:cs="Arial" w:eastAsia="Arial" w:hAnsi="Arial"/>
          <w:b/>
          <w:bCs/>
          <w:color w:val="1B3C65"/>
          <w:sz w:val="21"/>
          <w:szCs w:val="21"/>
        </w:rPr>
        <w:t xml:space="preserve">3.8.6 (03.08.06)  Implement cryptographic mechanisms to protect the confidentiality of CUI stored on digital media during transport unless otherwise protected by alternative physical safeguards.</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Cryptographic protection of CUI on digital media in transport, unless protected by alternative physical safeguards.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Digital media in transport for continued use is encrypted with FIPS-validated cryptography per [reference to 3.13.11]. Media in transport for destruction relies on the alternative physical safeguards described in 3.8.5 (tamper-evident sealed containers, tracked carrier or escorted transport, custody recorded at both ends), as the requirement permits, because the media is destroyed on arrival and is never read by the vendor.</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Encryption configuration records for media in continued use; seal register and tracking records for media in transport for destruction.</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3.8.6[a] the confidentiality of CUI on digital media in transport is protected by cryptography or alternative physical safeguards.</w:t>
            </w:r>
          </w:p>
        </w:tc>
      </w:tr>
    </w:tbl>
    <w:p>
      <w:pPr>
        <w:spacing w:after="60"/>
      </w:pPr>
    </w:p>
    <w:p>
      <w:pPr>
        <w:spacing w:after="60" w:before="160"/>
      </w:pPr>
      <w:r>
        <w:rPr>
          <w:rFonts w:ascii="Arial" w:cs="Arial" w:eastAsia="Arial" w:hAnsi="Arial"/>
          <w:b/>
          <w:bCs/>
          <w:color w:val="1B3C65"/>
          <w:sz w:val="21"/>
          <w:szCs w:val="21"/>
        </w:rPr>
        <w:t xml:space="preserve">3.8.7 (03.08.07)  Control the use of removable media on system components.</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Control the use of removable media on system components.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Removable media containing CUI is issued through the media log, marked under 3.8.4, and inventoried with all other CUI media. Removable media that is no longer needed is not erased for reuse outside [Organization]; it is destroyed under 3.8.3, and flash media is disintegrated to 2 mm because logical sanitization of flash cannot be verified for all storage areas (NIST SP 800-88 Rev. 2, 3.1.1).</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Removable media inventory and issue records; destruction records.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3.8.7[a] the use of removable media on system components is controlled.</w:t>
            </w:r>
          </w:p>
        </w:tc>
      </w:tr>
    </w:tbl>
    <w:p>
      <w:pPr>
        <w:spacing w:after="60"/>
      </w:pPr>
    </w:p>
    <w:p>
      <w:pPr>
        <w:spacing w:after="60" w:before="160"/>
      </w:pPr>
      <w:r>
        <w:rPr>
          <w:rFonts w:ascii="Arial" w:cs="Arial" w:eastAsia="Arial" w:hAnsi="Arial"/>
          <w:b/>
          <w:bCs/>
          <w:color w:val="1B3C65"/>
          <w:sz w:val="21"/>
          <w:szCs w:val="21"/>
        </w:rPr>
        <w:t xml:space="preserve">3.8.8 (03.08.08)  Prohibit the use of portable storage devices when such devices have no identifiable owner.</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Prohibit portable storage devices with no identifiable owner.</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Portable storage found without an identifiable owner is not connected to any system component. It is treated as CUI media of unknown content, logged, sealed, and destroyed under 3.8.3, with the finding recorded as a security incident for review by [Title].</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Incident records; media log entries for found devices.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3.8.8[a] the use of portable storage devices is prohibited when such devices have no identifiable owner.</w:t>
            </w:r>
          </w:p>
        </w:tc>
      </w:tr>
    </w:tbl>
    <w:p>
      <w:pPr>
        <w:spacing w:after="60"/>
      </w:pPr>
    </w:p>
    <w:p>
      <w:pPr>
        <w:spacing w:after="60" w:before="160"/>
      </w:pPr>
      <w:r>
        <w:rPr>
          <w:rFonts w:ascii="Arial" w:cs="Arial" w:eastAsia="Arial" w:hAnsi="Arial"/>
          <w:b/>
          <w:bCs/>
          <w:color w:val="1B3C65"/>
          <w:sz w:val="21"/>
          <w:szCs w:val="21"/>
        </w:rPr>
        <w:t xml:space="preserve">3.8.9 (03.08.09)  Protect the confidentiality of backup CUI at storage locations.</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Protect the confidentiality of backup CUI at storage locations.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Backup media containing CUI is stored in [location] under the same physical controls as 3.8.1 and is encrypted per [reference]. Backup media retired from rotation, including tapes, is destroyed under 3.8.3 (degaussed on a degausser rated for the tape's coercivity, then shredded) and appears on the media log by cartridge serial or barcode.</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Backup storage access records; destruction records for retired backup media.</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3.8.9[a] the confidentiality of backup CUI is protected at storage locations.</w:t>
            </w:r>
          </w:p>
        </w:tc>
      </w:tr>
    </w:tbl>
    <w:p>
      <w:pPr>
        <w:spacing w:after="60"/>
      </w:pPr>
    </w:p>
    <w:p>
      <w:pPr>
        <w:spacing w:after="60" w:before="160"/>
      </w:pPr>
      <w:r>
        <w:rPr>
          <w:rFonts w:ascii="Arial" w:cs="Arial" w:eastAsia="Arial" w:hAnsi="Arial"/>
          <w:b/>
          <w:bCs/>
          <w:color w:val="1B3C65"/>
          <w:sz w:val="21"/>
          <w:szCs w:val="21"/>
        </w:rPr>
        <w:t xml:space="preserve">3.7.3 (03.07.03)  Ensure equipment removed for off-site maintenance is sanitized of any CUI.</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700"/>
        <w:gridCol w:w="8740"/>
      </w:tblGrid>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Requirement</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Ensure equipment removed for off-site maintenance is sanitized of any CUI.</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Implementation statement (paste into the SSP)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Before any system component leaves [Organization] for off-site maintenance, storage media is removed and retained under 3.8.1, or, where it cannot be removed, the component is sanitized and the action recorded on the media log. Components that cannot be sanitized are not sent off-site; they are destroyed under 3.8.3 and replaced.</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Evidence to keep</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Maintenance records showing media removal or sanitization before shipment; media log entries.</w:t>
            </w:r>
          </w:p>
        </w:tc>
      </w:tr>
      <w:tr>
        <w:tc>
          <w:tcPr>
            <w:tcW w:type="dxa" w:w="1700"/>
            <w:tcBorders>
              <w:top w:val="single" w:color="D9DFE6" w:sz="4"/>
              <w:left w:val="single" w:color="D9DFE6" w:sz="4"/>
              <w:bottom w:val="single" w:color="D9DFE6" w:sz="4"/>
              <w:right w:val="single" w:color="D9DFE6" w:sz="4"/>
            </w:tcBorders>
            <w:shd w:fill="EEF1F4" w:color="auto" w:val="clear"/>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800-171A objectives</w:t>
            </w:r>
          </w:p>
        </w:tc>
        <w:tc>
          <w:tcPr>
            <w:tcW w:type="dxa" w:w="8740"/>
            <w:tcBorders>
              <w:top w:val="single" w:color="D9DFE6" w:sz="4"/>
              <w:left w:val="single" w:color="D9DFE6" w:sz="4"/>
              <w:bottom w:val="single" w:color="D9DFE6" w:sz="4"/>
              <w:right w:val="single" w:color="D9DFE6" w:sz="4"/>
            </w:tcBorders>
            <w:tcMar>
              <w:top w:type="dxa" w:w="60"/>
              <w:left w:type="dxa" w:w="100"/>
              <w:bottom w:type="dxa" w:w="60"/>
              <w:right w:type="dxa" w:w="100"/>
            </w:tcMar>
          </w:tcPr>
          <w:p>
            <w:pPr>
              <w:spacing w:after="40" w:line="250"/>
            </w:pPr>
            <w:r>
              <w:rPr>
                <w:rFonts w:ascii="Arial" w:cs="Arial" w:eastAsia="Arial" w:hAnsi="Arial"/>
                <w:b w:val="false"/>
                <w:bCs w:val="false"/>
                <w:color w:val="0E2140"/>
                <w:sz w:val="17"/>
                <w:szCs w:val="17"/>
              </w:rPr>
              <w:t xml:space="preserve">3.7.3[a] equipment to be removed from organizational spaces for off-site maintenance is sanitized of any CUI.</w:t>
            </w:r>
          </w:p>
        </w:tc>
      </w:tr>
    </w:tbl>
    <w:p>
      <w:pPr>
        <w:spacing w:after="60"/>
      </w:pPr>
    </w:p>
    <w:p>
      <w:pPr>
        <w:spacing w:after="80" w:before="200"/>
      </w:pPr>
      <w:r>
        <w:rPr>
          <w:rFonts w:ascii="Arial" w:cs="Arial" w:eastAsia="Arial" w:hAnsi="Arial"/>
          <w:b/>
          <w:bCs/>
          <w:color w:val="1B3C65"/>
          <w:sz w:val="24"/>
          <w:szCs w:val="24"/>
        </w:rPr>
        <w:t xml:space="preserve">Supply-chain note for the SSP (outside the control statements)</w:t>
      </w:r>
    </w:p>
    <w:p>
      <w:pPr>
        <w:spacing w:after="100" w:line="264"/>
      </w:pPr>
      <w:r>
        <w:rPr>
          <w:rFonts w:ascii="Arial" w:cs="Arial" w:eastAsia="Arial" w:hAnsi="Arial"/>
          <w:color w:val="0E2140"/>
          <w:sz w:val="19"/>
          <w:szCs w:val="19"/>
        </w:rPr>
        <w:t xml:space="preserve">An assessor may ask about the vendor that handles CUI media. Describe your vendor’s status, equipment, personnel, and any limits on scope. If your vendor is Mansfield Technologies, the accurate statement is: “Mansfield Technologies LLC is a certified service-disabled veteran-owned small business (UEI SKVZDQ3WXKM3, CAGE 9P0F2) that has completed the CMMC Level 1 self-assessment and affirmed it in SPRS. Its destruction equipment appears on the NSA/CSS Evaluated Products Lists by model number. It does not hold a facility clearance; classified media is outside the scope of this arrangement and is never provided to it. All of its technicians are U.S. citizens who have passed a criminal background check, and two technicians handle every item.”</w:t>
      </w:r>
    </w:p>
    <w:p>
      <w:pPr>
        <w:spacing w:after="80" w:before="200"/>
      </w:pPr>
      <w:r>
        <w:rPr>
          <w:rFonts w:ascii="Arial" w:cs="Arial" w:eastAsia="Arial" w:hAnsi="Arial"/>
          <w:b/>
          <w:bCs/>
          <w:color w:val="1B3C65"/>
          <w:sz w:val="24"/>
          <w:szCs w:val="24"/>
        </w:rPr>
        <w:t xml:space="preserve">References</w:t>
      </w:r>
    </w:p>
    <w:p>
      <w:pPr>
        <w:pStyle w:val="ListParagraph"/>
        <w:numPr>
          <w:ilvl w:val="0"/>
          <w:numId w:val="2"/>
        </w:numPr>
        <w:spacing w:after="50" w:line="258"/>
      </w:pPr>
      <w:r>
        <w:rPr>
          <w:rFonts w:ascii="Arial" w:cs="Arial" w:eastAsia="Arial" w:hAnsi="Arial"/>
          <w:color w:val="0E2140"/>
          <w:sz w:val="18"/>
          <w:szCs w:val="18"/>
        </w:rPr>
        <w:t xml:space="preserve">32 CFR Part 2002, Controlled Unclassified Information, sections 2002.14(a)(2), 2002.14(f)(2), and 2002.14(g).</w:t>
      </w:r>
    </w:p>
    <w:p>
      <w:pPr>
        <w:pStyle w:val="ListParagraph"/>
        <w:numPr>
          <w:ilvl w:val="0"/>
          <w:numId w:val="2"/>
        </w:numPr>
        <w:spacing w:after="50" w:line="258"/>
      </w:pPr>
      <w:r>
        <w:rPr>
          <w:rFonts w:ascii="Arial" w:cs="Arial" w:eastAsia="Arial" w:hAnsi="Arial"/>
          <w:color w:val="0E2140"/>
          <w:sz w:val="18"/>
          <w:szCs w:val="18"/>
        </w:rPr>
        <w:t xml:space="preserve">NIST SP 800-171 Rev. 2 and Rev. 3, Protecting Controlled Unclassified Information in Nonfederal Systems and Organizations; NIST SP 800-171A, Assessing Security Requirements for CUI.</w:t>
      </w:r>
    </w:p>
    <w:p>
      <w:pPr>
        <w:pStyle w:val="ListParagraph"/>
        <w:numPr>
          <w:ilvl w:val="0"/>
          <w:numId w:val="2"/>
        </w:numPr>
        <w:spacing w:after="50" w:line="258"/>
      </w:pPr>
      <w:r>
        <w:rPr>
          <w:rFonts w:ascii="Arial" w:cs="Arial" w:eastAsia="Arial" w:hAnsi="Arial"/>
          <w:color w:val="0E2140"/>
          <w:sz w:val="18"/>
          <w:szCs w:val="18"/>
        </w:rPr>
        <w:t xml:space="preserve">NIST SP 800-88 Rev. 2, Guidelines for Media Sanitization (September 2025), sections 3.1, 4.5, and 4.6.</w:t>
      </w:r>
    </w:p>
    <w:p>
      <w:pPr>
        <w:pStyle w:val="ListParagraph"/>
        <w:numPr>
          <w:ilvl w:val="0"/>
          <w:numId w:val="2"/>
        </w:numPr>
        <w:spacing w:after="50" w:line="258"/>
      </w:pPr>
      <w:r>
        <w:rPr>
          <w:rFonts w:ascii="Arial" w:cs="Arial" w:eastAsia="Arial" w:hAnsi="Arial"/>
          <w:color w:val="0E2140"/>
          <w:sz w:val="18"/>
          <w:szCs w:val="18"/>
        </w:rPr>
        <w:t xml:space="preserve">NSA/CSS Policy Manual 9-12, Storage Device Sanitization and Destruction (reissued February 2026); NSA/CSS Evaluated Products Lists.</w:t>
      </w:r>
    </w:p>
    <w:p>
      <w:pPr>
        <w:pStyle w:val="ListParagraph"/>
        <w:numPr>
          <w:ilvl w:val="0"/>
          <w:numId w:val="2"/>
        </w:numPr>
        <w:spacing w:after="50" w:line="258"/>
      </w:pPr>
      <w:r>
        <w:rPr>
          <w:rFonts w:ascii="Arial" w:cs="Arial" w:eastAsia="Arial" w:hAnsi="Arial"/>
          <w:color w:val="0E2140"/>
          <w:sz w:val="18"/>
          <w:szCs w:val="18"/>
        </w:rPr>
        <w:t xml:space="preserve">Defense Counterintelligence and Security Agency, Guidance for Destroying Controlled Unclassified Information, Version 1, July 1, 2022 (dcsa.mil CUI job aid): paper particle sizes, the ten considerations for contracted destruction, and media destruction methods, referencing NIST SP 800-88 and NSA Media Destruction Guidance.</w:t>
      </w:r>
    </w:p>
    <w:p>
      <w:pPr>
        <w:pStyle w:val="ListParagraph"/>
        <w:numPr>
          <w:ilvl w:val="0"/>
          <w:numId w:val="2"/>
        </w:numPr>
        <w:spacing w:after="50" w:line="258"/>
      </w:pPr>
      <w:r>
        <w:rPr>
          <w:rFonts w:ascii="Arial" w:cs="Arial" w:eastAsia="Arial" w:hAnsi="Arial"/>
          <w:color w:val="0E2140"/>
          <w:sz w:val="18"/>
          <w:szCs w:val="18"/>
        </w:rPr>
        <w:t xml:space="preserve">ISOO CUI Notice 2019-03, Destroying Controlled Unclassified Information in Paper Form.</w:t>
      </w:r>
    </w:p>
    <w:p>
      <w:pPr>
        <w:pStyle w:val="ListParagraph"/>
        <w:numPr>
          <w:ilvl w:val="0"/>
          <w:numId w:val="2"/>
        </w:numPr>
        <w:spacing w:after="50" w:line="258"/>
      </w:pPr>
      <w:r>
        <w:rPr>
          <w:rFonts w:ascii="Arial" w:cs="Arial" w:eastAsia="Arial" w:hAnsi="Arial"/>
          <w:color w:val="0E2140"/>
          <w:sz w:val="18"/>
          <w:szCs w:val="18"/>
        </w:rPr>
        <w:t xml:space="preserve">NSA Media Destruction Guidance (nsa.gov): NSA/CSS Policy Manual 9-12 and the Evaluated Products Lists for degaussers, solid-state destruction devices, and paper shredders.</w:t>
      </w:r>
    </w:p>
    <w:p>
      <w:pPr>
        <w:pStyle w:val="ListParagraph"/>
        <w:numPr>
          <w:ilvl w:val="0"/>
          <w:numId w:val="2"/>
        </w:numPr>
        <w:spacing w:after="50" w:line="258"/>
      </w:pPr>
      <w:r>
        <w:rPr>
          <w:rFonts w:ascii="Arial" w:cs="Arial" w:eastAsia="Arial" w:hAnsi="Arial"/>
          <w:color w:val="0E2140"/>
          <w:sz w:val="18"/>
          <w:szCs w:val="18"/>
        </w:rPr>
        <w:t xml:space="preserve">DoDI 5200.48, Controlled Unclassified Information.</w:t>
      </w:r>
    </w:p>
    <w:p>
      <w:pPr>
        <w:pStyle w:val="ListParagraph"/>
        <w:numPr>
          <w:ilvl w:val="0"/>
          <w:numId w:val="2"/>
        </w:numPr>
        <w:spacing w:after="50" w:line="258"/>
      </w:pPr>
      <w:r>
        <w:rPr>
          <w:rFonts w:ascii="Arial" w:cs="Arial" w:eastAsia="Arial" w:hAnsi="Arial"/>
          <w:color w:val="0E2140"/>
          <w:sz w:val="18"/>
          <w:szCs w:val="18"/>
        </w:rPr>
        <w:t xml:space="preserve">IEEE 2883-2022, Standard for Sanitizing Storage.</w:t>
      </w:r>
    </w:p>
    <w:sectPr>
      <w:footerReference w:type="default" r:id="rId7"/>
      <w:pgSz w:w="12240" w:h="15840" w:orient="portrait"/>
      <w:pgMar w:top="900" w:right="900" w:bottom="8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FE6" w:sz="4" w:space="4"/>
      </w:pBdr>
      <w:spacing w:before="60"/>
    </w:pPr>
    <w:r>
      <w:rPr>
        <w:rFonts w:ascii="Arial" w:cs="Arial" w:eastAsia="Arial" w:hAnsi="Arial"/>
        <w:color w:val="5F6F82"/>
        <w:sz w:val="14"/>
        <w:szCs w:val="14"/>
      </w:rPr>
      <w:t xml:space="preserve">Template provided by Mansfield Technologies LLC, Mansfield, Ohio. www.mansfieldtech.us. Adapt to your organization; not legal or assessment advice. Page </w:t>
    </w:r>
    <w:r>
      <w:rPr>
        <w:rFonts w:ascii="Arial" w:cs="Arial" w:eastAsia="Arial" w:hAnsi="Arial"/>
        <w:color w:val="5F6F82"/>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E2140"/>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2026-09-22T16:18:25.315Z</dcterms:created>
  <dcterms:modified xsi:type="dcterms:W3CDTF">2026-09-22T16:18:25.316Z</dcterms:modified>
</cp:coreProperties>
</file>

<file path=docProps/custom.xml><?xml version="1.0" encoding="utf-8"?>
<Properties xmlns="http://schemas.openxmlformats.org/officeDocument/2006/custom-properties" xmlns:vt="http://schemas.openxmlformats.org/officeDocument/2006/docPropsVTypes"/>
</file>