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rial" w:cs="Arial" w:eastAsia="Arial" w:hAnsi="Arial"/>
          <w:b/>
          <w:bCs/>
          <w:color w:val="1B3C65"/>
          <w:sz w:val="28"/>
          <w:szCs w:val="28"/>
        </w:rPr>
        <w:t xml:space="preserve">MEDIA PROTECTION POLICY</w:t>
      </w:r>
      <w:r>
        <w:rPr>
          <w:rFonts w:ascii="Arial" w:cs="Arial" w:eastAsia="Arial" w:hAnsi="Arial"/>
          <w:b w:val="false"/>
          <w:bCs w:val="false"/>
          <w:color w:val="5F6F82"/>
          <w:sz w:val="18"/>
          <w:szCs w:val="18"/>
        </w:rPr>
        <w:t xml:space="preserve">   High security categorization</w:t>
      </w:r>
    </w:p>
    <w:p>
      <w:pPr>
        <w:pBdr>
          <w:bottom w:val="single" w:color="F5B301" w:sz="8" w:space="4"/>
        </w:pBdr>
        <w:spacing w:after="90"/>
      </w:pPr>
      <w:r>
        <w:rPr>
          <w:rFonts w:ascii="Arial" w:cs="Arial" w:eastAsia="Arial" w:hAnsi="Arial"/>
          <w:color w:val="0E2140"/>
          <w:sz w:val="17"/>
          <w:szCs w:val="17"/>
        </w:rPr>
        <w:t xml:space="preserve">[Organization name]     </w:t>
      </w:r>
      <w:r>
        <w:rPr>
          <w:rFonts w:ascii="Arial" w:cs="Arial" w:eastAsia="Arial" w:hAnsi="Arial"/>
          <w:color w:val="5F6F82"/>
          <w:sz w:val="15"/>
          <w:szCs w:val="15"/>
        </w:rPr>
        <w:t xml:space="preserve">Policy owner: [Title]     Effective: [Date]     Review: annually     Version: 1.0</w:t>
      </w:r>
    </w:p>
    <w:p>
      <w:pPr>
        <w:spacing w:after="12" w:before="40"/>
      </w:pPr>
      <w:r>
        <w:rPr>
          <w:rFonts w:ascii="Arial" w:cs="Arial" w:eastAsia="Arial" w:hAnsi="Arial"/>
          <w:b/>
          <w:bCs/>
          <w:color w:val="1B3C65"/>
          <w:sz w:val="16"/>
          <w:szCs w:val="16"/>
        </w:rPr>
        <w:t xml:space="preserve">1. Purpose, scope, and categorization</w:t>
      </w:r>
    </w:p>
    <w:p>
      <w:pPr>
        <w:spacing w:after="20" w:line="218"/>
      </w:pPr>
      <w:r>
        <w:rPr>
          <w:rFonts w:ascii="Arial" w:cs="Arial" w:eastAsia="Arial" w:hAnsi="Arial"/>
          <w:b/>
          <w:bCs/>
          <w:color w:val="0E2140"/>
          <w:sz w:val="14"/>
          <w:szCs w:val="14"/>
        </w:rPr>
        <w:t xml:space="preserve">Who this is for. </w:t>
      </w:r>
      <w:r>
        <w:rPr>
          <w:rFonts w:ascii="Arial" w:cs="Arial" w:eastAsia="Arial" w:hAnsi="Arial"/>
          <w:color w:val="0E2140"/>
          <w:sz w:val="14"/>
          <w:szCs w:val="14"/>
        </w:rPr>
        <w:t xml:space="preserve">This policy is written for commercial and other non-federal organizations that have elected to apply the </w:t>
      </w:r>
      <w:r>
        <w:rPr>
          <w:rFonts w:ascii="Arial" w:cs="Arial" w:eastAsia="Arial" w:hAnsi="Arial"/>
          <w:b/>
          <w:bCs/>
          <w:color w:val="0E2140"/>
          <w:sz w:val="14"/>
          <w:szCs w:val="14"/>
        </w:rPr>
        <w:t xml:space="preserve">High</w:t>
      </w:r>
      <w:r>
        <w:rPr>
          <w:rFonts w:ascii="Arial" w:cs="Arial" w:eastAsia="Arial" w:hAnsi="Arial"/>
          <w:color w:val="0E2140"/>
          <w:sz w:val="14"/>
          <w:szCs w:val="14"/>
        </w:rPr>
        <w:t xml:space="preserve"> security categorization of FIPS 199 to their information storage media: a loss of confidentiality would have a severe or catastrophic effect on the organization, its customers, or individuals. Healthcare, financial, law enforcement, and defense-supply environments typically make this election. A separate template covers the Moderate categorization.</w:t>
      </w:r>
    </w:p>
    <w:p>
      <w:pPr>
        <w:spacing w:after="20" w:line="218"/>
      </w:pPr>
      <w:r>
        <w:rPr>
          <w:rFonts w:ascii="Arial" w:cs="Arial" w:eastAsia="Arial" w:hAnsi="Arial"/>
          <w:color w:val="0E2140"/>
          <w:sz w:val="14"/>
          <w:szCs w:val="14"/>
        </w:rPr>
        <w:t xml:space="preserve">It governs every piece of media that stores organizational data from the day it is placed in service until it is destroyed: drives, SSDs, tapes, discs, flash media, phones, tablets, and the storage inside servers, workstations, copiers, printers, imaging systems, and network equipment. It applies to all employees, contractors, and vendors. Because the election is High, any media that has ever held organizational data is treated as High-impact regardless of what it holds today. Techniques follow IEEE 2883 or NSA/CSS Policy Manual 9-12, both named as acceptable by NIST SP 800-88 Rev. 2.</w:t>
      </w:r>
    </w:p>
    <w:p>
      <w:pPr>
        <w:spacing w:after="12" w:before="40"/>
      </w:pPr>
      <w:r>
        <w:rPr>
          <w:rFonts w:ascii="Arial" w:cs="Arial" w:eastAsia="Arial" w:hAnsi="Arial"/>
          <w:b/>
          <w:bCs/>
          <w:color w:val="1B3C65"/>
          <w:sz w:val="16"/>
          <w:szCs w:val="16"/>
        </w:rPr>
        <w:t xml:space="preserve">2. Tracking: the media is the unit of accountability</w:t>
      </w:r>
    </w:p>
    <w:p>
      <w:pPr>
        <w:pStyle w:val="ListParagraph"/>
        <w:numPr>
          <w:ilvl w:val="0"/>
          <w:numId w:val="2"/>
        </w:numPr>
        <w:spacing w:after="8" w:line="216"/>
      </w:pPr>
      <w:r>
        <w:rPr>
          <w:rFonts w:ascii="Arial" w:cs="Arial" w:eastAsia="Arial" w:hAnsi="Arial"/>
          <w:b/>
          <w:bCs/>
          <w:color w:val="0E2140"/>
          <w:sz w:val="14"/>
          <w:szCs w:val="14"/>
        </w:rPr>
        <w:t xml:space="preserve">Record at deployment. </w:t>
      </w:r>
      <w:r>
        <w:rPr>
          <w:rFonts w:ascii="Arial" w:cs="Arial" w:eastAsia="Arial" w:hAnsi="Arial"/>
          <w:color w:val="0E2140"/>
          <w:sz w:val="14"/>
          <w:szCs w:val="14"/>
        </w:rPr>
        <w:t xml:space="preserve">Every device is inventoried with its asset tag and the serial, make, and model of each storage component inside it. No serial recorded, not in service.</w:t>
      </w:r>
    </w:p>
    <w:p>
      <w:pPr>
        <w:pStyle w:val="ListParagraph"/>
        <w:numPr>
          <w:ilvl w:val="0"/>
          <w:numId w:val="2"/>
        </w:numPr>
        <w:spacing w:after="8" w:line="216"/>
      </w:pPr>
      <w:r>
        <w:rPr>
          <w:rFonts w:ascii="Arial" w:cs="Arial" w:eastAsia="Arial" w:hAnsi="Arial"/>
          <w:b/>
          <w:bCs/>
          <w:color w:val="0E2140"/>
          <w:sz w:val="14"/>
          <w:szCs w:val="14"/>
        </w:rPr>
        <w:t xml:space="preserve">Record at removal, and mark it. </w:t>
      </w:r>
      <w:r>
        <w:rPr>
          <w:rFonts w:ascii="Arial" w:cs="Arial" w:eastAsia="Arial" w:hAnsi="Arial"/>
          <w:color w:val="0E2140"/>
          <w:sz w:val="14"/>
          <w:szCs w:val="14"/>
        </w:rPr>
        <w:t xml:space="preserve">When storage leaves a device for any reason, the removal is logged the same day with serial, reason, date, and two names (remover and witness), and the media is labeled with its serial before it goes in the bin. No one removes and disposes of media alone; an unlabeled drive on a shelf is a finding.</w:t>
      </w:r>
    </w:p>
    <w:p>
      <w:pPr>
        <w:pStyle w:val="ListParagraph"/>
        <w:numPr>
          <w:ilvl w:val="0"/>
          <w:numId w:val="2"/>
        </w:numPr>
        <w:spacing w:after="8" w:line="216"/>
      </w:pPr>
      <w:r>
        <w:rPr>
          <w:rFonts w:ascii="Arial" w:cs="Arial" w:eastAsia="Arial" w:hAnsi="Arial"/>
          <w:b/>
          <w:bCs/>
          <w:color w:val="0E2140"/>
          <w:sz w:val="14"/>
          <w:szCs w:val="14"/>
        </w:rPr>
        <w:t xml:space="preserve">Reconcile physically. </w:t>
      </w:r>
      <w:r>
        <w:rPr>
          <w:rFonts w:ascii="Arial" w:cs="Arial" w:eastAsia="Arial" w:hAnsi="Arial"/>
          <w:color w:val="0E2140"/>
          <w:sz w:val="14"/>
          <w:szCs w:val="14"/>
        </w:rPr>
        <w:t xml:space="preserve">Quarterly for media in service, monthly for staged media: the inventory is checked against what is physically installed and on the shelf, signed by [Title]. Installed storage that does not match the record is a security incident.</w:t>
      </w:r>
    </w:p>
    <w:p>
      <w:pPr>
        <w:pStyle w:val="ListParagraph"/>
        <w:numPr>
          <w:ilvl w:val="0"/>
          <w:numId w:val="2"/>
        </w:numPr>
        <w:spacing w:after="8" w:line="216"/>
      </w:pPr>
      <w:r>
        <w:rPr>
          <w:rFonts w:ascii="Arial" w:cs="Arial" w:eastAsia="Arial" w:hAnsi="Arial"/>
          <w:b/>
          <w:bCs/>
          <w:color w:val="0E2140"/>
          <w:sz w:val="14"/>
          <w:szCs w:val="14"/>
        </w:rPr>
        <w:t xml:space="preserve">Stage briefly, securely. </w:t>
      </w:r>
      <w:r>
        <w:rPr>
          <w:rFonts w:ascii="Arial" w:cs="Arial" w:eastAsia="Arial" w:hAnsi="Arial"/>
          <w:color w:val="0E2140"/>
          <w:sz w:val="14"/>
          <w:szCs w:val="14"/>
        </w:rPr>
        <w:t xml:space="preserve">Retired media is kept in a locked space with a current access list, in containers closed with numbered tamper-evident seals, and destroyed within 30 days of leaving service. Media leaving the premises first travels only under documented custody (tracked carrier or escort, seal numbers recorded at both ends).</w:t>
      </w:r>
    </w:p>
    <w:p>
      <w:pPr>
        <w:spacing w:after="12" w:before="40"/>
      </w:pPr>
      <w:r>
        <w:rPr>
          <w:rFonts w:ascii="Arial" w:cs="Arial" w:eastAsia="Arial" w:hAnsi="Arial"/>
          <w:b/>
          <w:bCs/>
          <w:color w:val="1B3C65"/>
          <w:sz w:val="16"/>
          <w:szCs w:val="16"/>
        </w:rPr>
        <w:t xml:space="preserve">3. Sanitization decision flow (adapted from SP 800-88 Rev. 2, Figure 1)</w:t>
      </w:r>
    </w:p>
    <w:p>
      <w:pPr>
        <w:spacing w:after="40" w:line="218"/>
      </w:pPr>
      <w:r>
        <w:rPr>
          <w:rFonts w:ascii="Arial" w:cs="Arial" w:eastAsia="Arial" w:hAnsi="Arial"/>
          <w:b/>
          <w:bCs/>
          <w:color w:val="0E2140"/>
          <w:sz w:val="14"/>
          <w:szCs w:val="14"/>
        </w:rPr>
        <w:t xml:space="preserve">Step 1, categorize. </w:t>
      </w:r>
      <w:r>
        <w:rPr>
          <w:rFonts w:ascii="Arial" w:cs="Arial" w:eastAsia="Arial" w:hAnsi="Arial"/>
          <w:color w:val="0E2140"/>
          <w:sz w:val="14"/>
          <w:szCs w:val="14"/>
        </w:rPr>
        <w:t xml:space="preserve">All media under this policy is High. </w:t>
      </w:r>
      <w:r>
        <w:rPr>
          <w:rFonts w:ascii="Arial" w:cs="Arial" w:eastAsia="Arial" w:hAnsi="Arial"/>
          <w:b/>
          <w:bCs/>
          <w:color w:val="0E2140"/>
          <w:sz w:val="14"/>
          <w:szCs w:val="14"/>
        </w:rPr>
        <w:t xml:space="preserve">Step 2, will the media be reused? </w:t>
      </w:r>
      <w:r>
        <w:rPr>
          <w:rFonts w:ascii="Arial" w:cs="Arial" w:eastAsia="Arial" w:hAnsi="Arial"/>
          <w:color w:val="0E2140"/>
          <w:sz w:val="14"/>
          <w:szCs w:val="14"/>
        </w:rPr>
        <w:t xml:space="preserve">If it is failed, obsolete, at end of life, or simply not needed, it will not be reused: go to </w:t>
      </w:r>
      <w:r>
        <w:rPr>
          <w:rFonts w:ascii="Arial" w:cs="Arial" w:eastAsia="Arial" w:hAnsi="Arial"/>
          <w:b/>
          <w:bCs/>
          <w:color w:val="0E2140"/>
          <w:sz w:val="14"/>
          <w:szCs w:val="14"/>
        </w:rPr>
        <w:t xml:space="preserve">Destroy</w:t>
      </w:r>
      <w:r>
        <w:rPr>
          <w:rFonts w:ascii="Arial" w:cs="Arial" w:eastAsia="Arial" w:hAnsi="Arial"/>
          <w:color w:val="0E2140"/>
          <w:sz w:val="14"/>
          <w:szCs w:val="14"/>
        </w:rPr>
        <w:t xml:space="preserve">. </w:t>
      </w:r>
      <w:r>
        <w:rPr>
          <w:rFonts w:ascii="Arial" w:cs="Arial" w:eastAsia="Arial" w:hAnsi="Arial"/>
          <w:b/>
          <w:bCs/>
          <w:color w:val="0E2140"/>
          <w:sz w:val="14"/>
          <w:szCs w:val="14"/>
        </w:rPr>
        <w:t xml:space="preserve">Step 3, if reused, will it leave organizational control? </w:t>
      </w:r>
      <w:r>
        <w:rPr>
          <w:rFonts w:ascii="Arial" w:cs="Arial" w:eastAsia="Arial" w:hAnsi="Arial"/>
          <w:color w:val="0E2140"/>
          <w:sz w:val="14"/>
          <w:szCs w:val="14"/>
        </w:rPr>
        <w:t xml:space="preserve">Media stays under our control when redeployed internally, or serviced under our supervision or under a contract binding the provider to confidentiality (Rev. 2, 4.3.4). Internal reuse at High requires </w:t>
      </w:r>
      <w:r>
        <w:rPr>
          <w:rFonts w:ascii="Arial" w:cs="Arial" w:eastAsia="Arial" w:hAnsi="Arial"/>
          <w:b/>
          <w:bCs/>
          <w:color w:val="0E2140"/>
          <w:sz w:val="14"/>
          <w:szCs w:val="14"/>
        </w:rPr>
        <w:t xml:space="preserve">Purge</w:t>
      </w:r>
      <w:r>
        <w:rPr>
          <w:rFonts w:ascii="Arial" w:cs="Arial" w:eastAsia="Arial" w:hAnsi="Arial"/>
          <w:color w:val="0E2140"/>
          <w:sz w:val="14"/>
          <w:szCs w:val="14"/>
        </w:rPr>
        <w:t xml:space="preserve"> (Clear is not sufficient). Media leaving our control (sale, donation, lease return, warranty exchange, recycler) requires </w:t>
      </w:r>
      <w:r>
        <w:rPr>
          <w:rFonts w:ascii="Arial" w:cs="Arial" w:eastAsia="Arial" w:hAnsi="Arial"/>
          <w:b/>
          <w:bCs/>
          <w:color w:val="0E2140"/>
          <w:sz w:val="14"/>
          <w:szCs w:val="14"/>
        </w:rPr>
        <w:t xml:space="preserve">Destroy</w:t>
      </w:r>
      <w:r>
        <w:rPr>
          <w:rFonts w:ascii="Arial" w:cs="Arial" w:eastAsia="Arial" w:hAnsi="Arial"/>
          <w:color w:val="0E2140"/>
          <w:sz w:val="14"/>
          <w:szCs w:val="14"/>
        </w:rPr>
        <w:t xml:space="preserve">. </w:t>
      </w:r>
      <w:r>
        <w:rPr>
          <w:rFonts w:ascii="Arial" w:cs="Arial" w:eastAsia="Arial" w:hAnsi="Arial"/>
          <w:b/>
          <w:bCs/>
          <w:color w:val="0E2140"/>
          <w:sz w:val="14"/>
          <w:szCs w:val="14"/>
        </w:rPr>
        <w:t xml:space="preserve">Step 4, sanitize </w:t>
      </w:r>
      <w:r>
        <w:rPr>
          <w:rFonts w:ascii="Arial" w:cs="Arial" w:eastAsia="Arial" w:hAnsi="Arial"/>
          <w:color w:val="0E2140"/>
          <w:sz w:val="14"/>
          <w:szCs w:val="14"/>
        </w:rPr>
        <w:t xml:space="preserve">with the technique for the media type in the table below. </w:t>
      </w:r>
      <w:r>
        <w:rPr>
          <w:rFonts w:ascii="Arial" w:cs="Arial" w:eastAsia="Arial" w:hAnsi="Arial"/>
          <w:b/>
          <w:bCs/>
          <w:color w:val="0E2140"/>
          <w:sz w:val="14"/>
          <w:szCs w:val="14"/>
        </w:rPr>
        <w:t xml:space="preserve">Step 5, verify and validate: </w:t>
      </w:r>
      <w:r>
        <w:rPr>
          <w:rFonts w:ascii="Arial" w:cs="Arial" w:eastAsia="Arial" w:hAnsi="Arial"/>
          <w:color w:val="0E2140"/>
          <w:sz w:val="14"/>
          <w:szCs w:val="14"/>
        </w:rPr>
        <w:t xml:space="preserve">inspect the outcome and identify the equipment (verification), then [Title] records a decision that it met this policy (validation); a rejected outcome is re-sanitized by a stronger method. </w:t>
      </w:r>
      <w:r>
        <w:rPr>
          <w:rFonts w:ascii="Arial" w:cs="Arial" w:eastAsia="Arial" w:hAnsi="Arial"/>
          <w:b/>
          <w:bCs/>
          <w:color w:val="0E2140"/>
          <w:sz w:val="14"/>
          <w:szCs w:val="14"/>
        </w:rPr>
        <w:t xml:space="preserve">Step 6, document </w:t>
      </w:r>
      <w:r>
        <w:rPr>
          <w:rFonts w:ascii="Arial" w:cs="Arial" w:eastAsia="Arial" w:hAnsi="Arial"/>
          <w:color w:val="0E2140"/>
          <w:sz w:val="14"/>
          <w:szCs w:val="14"/>
        </w:rPr>
        <w:t xml:space="preserve">per section 4, then </w:t>
      </w:r>
      <w:r>
        <w:rPr>
          <w:rFonts w:ascii="Arial" w:cs="Arial" w:eastAsia="Arial" w:hAnsi="Arial"/>
          <w:b/>
          <w:bCs/>
          <w:color w:val="0E2140"/>
          <w:sz w:val="14"/>
          <w:szCs w:val="14"/>
        </w:rPr>
        <w:t xml:space="preserve">Step 7, dispose or redeploy.</w:t>
      </w:r>
    </w:p>
    <w:tbl>
      <w:tblPr>
        <w:tblW w:type="dxa" w:w="10600"/>
        <w:tblBorders>
          <w:top w:val="single" w:color="auto" w:sz="4"/>
          <w:left w:val="single" w:color="auto" w:sz="4"/>
          <w:bottom w:val="single" w:color="auto" w:sz="4"/>
          <w:right w:val="single" w:color="auto" w:sz="4"/>
          <w:insideH w:val="single" w:color="auto" w:sz="4"/>
          <w:insideV w:val="single" w:color="auto" w:sz="4"/>
        </w:tblBorders>
      </w:tblPr>
      <w:tblGrid>
        <w:gridCol w:w="2000"/>
        <w:gridCol w:w="3800"/>
        <w:gridCol w:w="2800"/>
        <w:gridCol w:w="2000"/>
      </w:tblGrid>
      <w:tr>
        <w:trPr>
          <w:tblHeader/>
        </w:trPr>
        <w:tc>
          <w:tcPr>
            <w:tcW w:type="dxa" w:w="2000"/>
            <w:tcBorders>
              <w:top w:val="single" w:color="D9DFE6" w:sz="4"/>
              <w:left w:val="single" w:color="D9DFE6" w:sz="4"/>
              <w:bottom w:val="single" w:color="D9DFE6" w:sz="4"/>
              <w:right w:val="single" w:color="D9DFE6" w:sz="4"/>
            </w:tcBorders>
            <w:shd w:fill="1B3C65" w:color="auto" w:val="clear"/>
            <w:tcMar>
              <w:top w:type="dxa" w:w="18"/>
              <w:left w:type="dxa" w:w="56"/>
              <w:bottom w:type="dxa" w:w="18"/>
              <w:right w:type="dxa" w:w="56"/>
            </w:tcMar>
          </w:tcPr>
          <w:p>
            <w:pPr>
              <w:spacing w:after="0" w:line="225"/>
            </w:pPr>
            <w:r>
              <w:rPr>
                <w:rFonts w:ascii="Arial" w:cs="Arial" w:eastAsia="Arial" w:hAnsi="Arial"/>
                <w:b/>
                <w:bCs/>
                <w:color w:val="FFFFFF"/>
                <w:sz w:val="14"/>
                <w:szCs w:val="14"/>
              </w:rPr>
              <w:t xml:space="preserve">Media type</w:t>
            </w:r>
          </w:p>
        </w:tc>
        <w:tc>
          <w:tcPr>
            <w:tcW w:type="dxa" w:w="3800"/>
            <w:tcBorders>
              <w:top w:val="single" w:color="D9DFE6" w:sz="4"/>
              <w:left w:val="single" w:color="D9DFE6" w:sz="4"/>
              <w:bottom w:val="single" w:color="D9DFE6" w:sz="4"/>
              <w:right w:val="single" w:color="D9DFE6" w:sz="4"/>
            </w:tcBorders>
            <w:shd w:fill="1B3C65" w:color="auto" w:val="clear"/>
            <w:tcMar>
              <w:top w:type="dxa" w:w="18"/>
              <w:left w:type="dxa" w:w="56"/>
              <w:bottom w:type="dxa" w:w="18"/>
              <w:right w:type="dxa" w:w="56"/>
            </w:tcMar>
          </w:tcPr>
          <w:p>
            <w:pPr>
              <w:spacing w:after="0" w:line="225"/>
            </w:pPr>
            <w:r>
              <w:rPr>
                <w:rFonts w:ascii="Arial" w:cs="Arial" w:eastAsia="Arial" w:hAnsi="Arial"/>
                <w:b/>
                <w:bCs/>
                <w:color w:val="FFFFFF"/>
                <w:sz w:val="14"/>
                <w:szCs w:val="14"/>
              </w:rPr>
              <w:t xml:space="preserve">Outcome at High (Rev. 2)</w:t>
            </w:r>
          </w:p>
        </w:tc>
        <w:tc>
          <w:tcPr>
            <w:tcW w:type="dxa" w:w="2800"/>
            <w:tcBorders>
              <w:top w:val="single" w:color="D9DFE6" w:sz="4"/>
              <w:left w:val="single" w:color="D9DFE6" w:sz="4"/>
              <w:bottom w:val="single" w:color="D9DFE6" w:sz="4"/>
              <w:right w:val="single" w:color="D9DFE6" w:sz="4"/>
            </w:tcBorders>
            <w:shd w:fill="1B3C65" w:color="auto" w:val="clear"/>
            <w:tcMar>
              <w:top w:type="dxa" w:w="18"/>
              <w:left w:type="dxa" w:w="56"/>
              <w:bottom w:type="dxa" w:w="18"/>
              <w:right w:type="dxa" w:w="56"/>
            </w:tcMar>
          </w:tcPr>
          <w:p>
            <w:pPr>
              <w:spacing w:after="0" w:line="225"/>
            </w:pPr>
            <w:r>
              <w:rPr>
                <w:rFonts w:ascii="Arial" w:cs="Arial" w:eastAsia="Arial" w:hAnsi="Arial"/>
                <w:b/>
                <w:bCs/>
                <w:color w:val="FFFFFF"/>
                <w:sz w:val="14"/>
                <w:szCs w:val="14"/>
              </w:rPr>
              <w:t xml:space="preserve">Accepted technique</w:t>
            </w:r>
          </w:p>
        </w:tc>
        <w:tc>
          <w:tcPr>
            <w:tcW w:type="dxa" w:w="2000"/>
            <w:tcBorders>
              <w:top w:val="single" w:color="D9DFE6" w:sz="4"/>
              <w:left w:val="single" w:color="D9DFE6" w:sz="4"/>
              <w:bottom w:val="single" w:color="D9DFE6" w:sz="4"/>
              <w:right w:val="single" w:color="D9DFE6" w:sz="4"/>
            </w:tcBorders>
            <w:shd w:fill="1B3C65" w:color="auto" w:val="clear"/>
            <w:tcMar>
              <w:top w:type="dxa" w:w="18"/>
              <w:left w:type="dxa" w:w="56"/>
              <w:bottom w:type="dxa" w:w="18"/>
              <w:right w:type="dxa" w:w="56"/>
            </w:tcMar>
          </w:tcPr>
          <w:p>
            <w:pPr>
              <w:spacing w:after="0" w:line="225"/>
            </w:pPr>
            <w:r>
              <w:rPr>
                <w:rFonts w:ascii="Arial" w:cs="Arial" w:eastAsia="Arial" w:hAnsi="Arial"/>
                <w:b/>
                <w:bCs/>
                <w:color w:val="FFFFFF"/>
                <w:sz w:val="14"/>
                <w:szCs w:val="14"/>
              </w:rPr>
              <w:t xml:space="preserve">Record</w:t>
            </w:r>
          </w:p>
        </w:tc>
      </w:tr>
      <w:tr>
        <w:tc>
          <w:tcPr>
            <w:tcW w:type="dxa" w:w="200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bCs/>
                <w:color w:val="0E2140"/>
                <w:sz w:val="14"/>
                <w:szCs w:val="14"/>
              </w:rPr>
              <w:t xml:space="preserve">Magnetic hard drive, tape, hybrid, HAMR</w:t>
            </w:r>
          </w:p>
        </w:tc>
        <w:tc>
          <w:tcPr>
            <w:tcW w:type="dxa" w:w="380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Destroy. Degaussing alone is Purge, not Destroy (3.1.2); shredding alone is not accepted at High (3.1.3); degaussing does not reach hybrid cache or HAMR media.</w:t>
            </w:r>
          </w:p>
        </w:tc>
        <w:tc>
          <w:tcPr>
            <w:tcW w:type="dxa" w:w="280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Degauss on a degausser matched to the media coercivity, then shred or deform. Hybrid: board separated and disintegrated. HAMR: disintegrate, melt, or incinerate.</w:t>
            </w:r>
          </w:p>
        </w:tc>
        <w:tc>
          <w:tcPr>
            <w:tcW w:type="dxa" w:w="200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Serial, method, equipment, date, two names, drive type</w:t>
            </w:r>
          </w:p>
        </w:tc>
      </w:tr>
      <w:tr>
        <w:tc>
          <w:tcPr>
            <w:tcW w:type="dxa" w:w="20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bCs/>
                <w:color w:val="0E2140"/>
                <w:sz w:val="14"/>
                <w:szCs w:val="14"/>
              </w:rPr>
              <w:t xml:space="preserve">SSD, M.2, flash, phone, tablet, board</w:t>
            </w:r>
          </w:p>
        </w:tc>
        <w:tc>
          <w:tcPr>
            <w:tcW w:type="dxa" w:w="38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Destroy. Logical purge is not accepted for media leaving our control.</w:t>
            </w:r>
          </w:p>
        </w:tc>
        <w:tc>
          <w:tcPr>
            <w:tcW w:type="dxa" w:w="28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Disintegrate to a particle size appropriate to the data sensitivity; 2 mm or smaller is our acceptance size.</w:t>
            </w:r>
          </w:p>
        </w:tc>
        <w:tc>
          <w:tcPr>
            <w:tcW w:type="dxa" w:w="20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Same, plus particle size</w:t>
            </w:r>
          </w:p>
        </w:tc>
      </w:tr>
      <w:tr>
        <w:tc>
          <w:tcPr>
            <w:tcW w:type="dxa" w:w="20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bCs/>
                <w:color w:val="0E2140"/>
                <w:sz w:val="14"/>
                <w:szCs w:val="14"/>
              </w:rPr>
              <w:t xml:space="preserve">Any media reused inside the organization</w:t>
            </w:r>
          </w:p>
        </w:tc>
        <w:tc>
          <w:tcPr>
            <w:tcW w:type="dxa" w:w="38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Purge. Clear is not sufficient at High. Verified and validated per device.</w:t>
            </w:r>
          </w:p>
        </w:tc>
        <w:tc>
          <w:tcPr>
            <w:tcW w:type="dxa" w:w="28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Media-specific technique per IEEE 2883, including cryptographic erase where Rev. 2, 3.2 conditions are met.</w:t>
            </w:r>
          </w:p>
        </w:tc>
        <w:tc>
          <w:tcPr>
            <w:tcW w:type="dxa" w:w="2000"/>
            <w:tcBorders>
              <w:top w:val="single" w:color="D9DFE6" w:sz="4"/>
              <w:left w:val="single" w:color="D9DFE6" w:sz="4"/>
              <w:bottom w:val="single" w:color="D9DFE6" w:sz="4"/>
              <w:right w:val="single" w:color="D9DFE6" w:sz="4"/>
            </w:tcBorders>
            <w:shd w:fill="EEF1F4" w:color="auto" w:val="clear"/>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Tool and version, verification, validation</w:t>
            </w:r>
          </w:p>
        </w:tc>
      </w:tr>
      <w:tr>
        <w:tc>
          <w:tcPr>
            <w:tcW w:type="dxa" w:w="200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bCs/>
                <w:color w:val="0E2140"/>
                <w:sz w:val="14"/>
                <w:szCs w:val="14"/>
              </w:rPr>
              <w:t xml:space="preserve">Device found with no media</w:t>
            </w:r>
          </w:p>
        </w:tc>
        <w:tc>
          <w:tcPr>
            <w:tcW w:type="dxa" w:w="380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Confirm and record.</w:t>
            </w:r>
          </w:p>
        </w:tc>
        <w:tc>
          <w:tcPr>
            <w:tcW w:type="dxa" w:w="280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Open and inspect.</w:t>
            </w:r>
          </w:p>
        </w:tc>
        <w:tc>
          <w:tcPr>
            <w:tcW w:type="dxa" w:w="2000"/>
            <w:tcBorders>
              <w:top w:val="single" w:color="D9DFE6" w:sz="4"/>
              <w:left w:val="single" w:color="D9DFE6" w:sz="4"/>
              <w:bottom w:val="single" w:color="D9DFE6" w:sz="4"/>
              <w:right w:val="single" w:color="D9DFE6" w:sz="4"/>
            </w:tcBorders>
            <w:tcMar>
              <w:top w:type="dxa" w:w="18"/>
              <w:left w:type="dxa" w:w="56"/>
              <w:bottom w:type="dxa" w:w="18"/>
              <w:right w:type="dxa" w:w="56"/>
            </w:tcMar>
          </w:tcPr>
          <w:p>
            <w:pPr>
              <w:spacing w:after="0" w:line="225"/>
            </w:pPr>
            <w:r>
              <w:rPr>
                <w:rFonts w:ascii="Arial" w:cs="Arial" w:eastAsia="Arial" w:hAnsi="Arial"/>
                <w:b w:val="false"/>
                <w:bCs w:val="false"/>
                <w:color w:val="0E2140"/>
                <w:sz w:val="14"/>
                <w:szCs w:val="14"/>
              </w:rPr>
              <w:t xml:space="preserve">“None found,” date, two names</w:t>
            </w:r>
          </w:p>
        </w:tc>
      </w:tr>
    </w:tbl>
    <w:p>
      <w:pPr>
        <w:spacing w:after="20" w:line="218"/>
      </w:pPr>
      <w:r>
        <w:rPr>
          <w:rFonts w:ascii="Arial" w:cs="Arial" w:eastAsia="Arial" w:hAnsi="Arial"/>
          <w:color w:val="0E2140"/>
          <w:sz w:val="14"/>
          <w:szCs w:val="14"/>
        </w:rPr>
        <w:t xml:space="preserve">Equipment. Destruction equipment must produce byproducts appropriate to the sensitivity of the data being destroyed; the particle size above is our acceptance criterion. Equipment on the NSA/CSS Evaluated Products Lists is preferred because it has passed rigorous, standardized security testing. Equipment is maintained per the manufacturer, with records kept. Destruction is witnessed by an authorized employee.</w:t>
      </w:r>
    </w:p>
    <w:p>
      <w:pPr>
        <w:spacing w:after="12" w:before="40"/>
      </w:pPr>
      <w:r>
        <w:rPr>
          <w:rFonts w:ascii="Arial" w:cs="Arial" w:eastAsia="Arial" w:hAnsi="Arial"/>
          <w:b/>
          <w:bCs/>
          <w:color w:val="1B3C65"/>
          <w:sz w:val="16"/>
          <w:szCs w:val="16"/>
        </w:rPr>
        <w:t xml:space="preserve">4. Records and retention</w:t>
      </w:r>
    </w:p>
    <w:p>
      <w:pPr>
        <w:pStyle w:val="ListParagraph"/>
        <w:numPr>
          <w:ilvl w:val="0"/>
          <w:numId w:val="2"/>
        </w:numPr>
        <w:spacing w:after="8" w:line="216"/>
      </w:pPr>
      <w:r>
        <w:rPr>
          <w:rFonts w:ascii="Arial" w:cs="Arial" w:eastAsia="Arial" w:hAnsi="Arial"/>
          <w:b/>
          <w:bCs/>
          <w:color w:val="0E2140"/>
          <w:sz w:val="14"/>
          <w:szCs w:val="14"/>
        </w:rPr>
        <w:t xml:space="preserve">The media log. </w:t>
      </w:r>
      <w:r>
        <w:rPr>
          <w:rFonts w:ascii="Arial" w:cs="Arial" w:eastAsia="Arial" w:hAnsi="Arial"/>
          <w:color w:val="0E2140"/>
          <w:sz w:val="14"/>
          <w:szCs w:val="14"/>
        </w:rPr>
        <w:t xml:space="preserve">One row per item with the Rev. 2 section 4.6 fields: manufacturer, model, serial, property number, media type, source, category, method, technique, tool and version, verification, validation, performer and validator (name, title, date, location, signature), and destination; plus removal date, two names, seal numbers, and approver. Empty devices are logged as “none found.”</w:t>
      </w:r>
    </w:p>
    <w:p>
      <w:pPr>
        <w:pStyle w:val="ListParagraph"/>
        <w:numPr>
          <w:ilvl w:val="0"/>
          <w:numId w:val="2"/>
        </w:numPr>
        <w:spacing w:after="8" w:line="216"/>
      </w:pPr>
      <w:r>
        <w:rPr>
          <w:rFonts w:ascii="Arial" w:cs="Arial" w:eastAsia="Arial" w:hAnsi="Arial"/>
          <w:b/>
          <w:bCs/>
          <w:color w:val="0E2140"/>
          <w:sz w:val="14"/>
          <w:szCs w:val="14"/>
        </w:rPr>
        <w:t xml:space="preserve">The certificate. </w:t>
      </w:r>
      <w:r>
        <w:rPr>
          <w:rFonts w:ascii="Arial" w:cs="Arial" w:eastAsia="Arial" w:hAnsi="Arial"/>
          <w:color w:val="0E2140"/>
          <w:sz w:val="14"/>
          <w:szCs w:val="14"/>
        </w:rPr>
        <w:t xml:space="preserve">Every destruction produces a signed Certificate of Destruction referencing the log by line and stating the standard achieved. Certificates and logs are kept [six] years, longer where required, and producible within one business day to auditors, examiners, and counsel.</w:t>
      </w:r>
    </w:p>
    <w:p>
      <w:pPr>
        <w:pStyle w:val="ListParagraph"/>
        <w:numPr>
          <w:ilvl w:val="0"/>
          <w:numId w:val="2"/>
        </w:numPr>
        <w:spacing w:after="8" w:line="216"/>
      </w:pPr>
      <w:r>
        <w:rPr>
          <w:rFonts w:ascii="Arial" w:cs="Arial" w:eastAsia="Arial" w:hAnsi="Arial"/>
          <w:b/>
          <w:bCs/>
          <w:color w:val="0E2140"/>
          <w:sz w:val="14"/>
          <w:szCs w:val="14"/>
        </w:rPr>
        <w:t xml:space="preserve">Legal hold. </w:t>
      </w:r>
      <w:r>
        <w:rPr>
          <w:rFonts w:ascii="Arial" w:cs="Arial" w:eastAsia="Arial" w:hAnsi="Arial"/>
          <w:color w:val="0E2140"/>
          <w:sz w:val="14"/>
          <w:szCs w:val="14"/>
        </w:rPr>
        <w:t xml:space="preserve">[Title] has sole authority to suspend destruction. A hold reaches the media custodian and every vendor by direct notice the day it is issued; destruction does not resume until [Title] releases it in writing.</w:t>
      </w:r>
    </w:p>
    <w:p>
      <w:pPr>
        <w:spacing w:after="12" w:before="40"/>
      </w:pPr>
      <w:r>
        <w:rPr>
          <w:rFonts w:ascii="Arial" w:cs="Arial" w:eastAsia="Arial" w:hAnsi="Arial"/>
          <w:b/>
          <w:bCs/>
          <w:color w:val="1B3C65"/>
          <w:sz w:val="16"/>
          <w:szCs w:val="16"/>
        </w:rPr>
        <w:t xml:space="preserve">5. Vendors</w:t>
      </w:r>
    </w:p>
    <w:p>
      <w:pPr>
        <w:spacing w:after="16" w:line="218"/>
      </w:pPr>
      <w:r>
        <w:rPr>
          <w:rFonts w:ascii="Arial" w:cs="Arial" w:eastAsia="Arial" w:hAnsi="Arial"/>
          <w:color w:val="0E2140"/>
          <w:sz w:val="14"/>
          <w:szCs w:val="14"/>
        </w:rPr>
        <w:t xml:space="preserve">A vendor is engaged only when it: destroys on-site under our witness, or documents unbroken custody from our dock to its equipment; uses equipment whose output meets section 3 (NSA-listed preferred), with maintenance records on request; delivers a serial-level log and signed certificate for every job, two technicians per item; sends material only to R2-certified recyclers; signs a BAA for PHI and a CJIS Security Addendum where required; and honors legal holds on notice. Vendors that wipe and resell whole devices are not used.</w:t>
      </w:r>
    </w:p>
    <w:p>
      <w:pPr>
        <w:spacing w:after="12" w:before="40"/>
      </w:pPr>
      <w:r>
        <w:rPr>
          <w:rFonts w:ascii="Arial" w:cs="Arial" w:eastAsia="Arial" w:hAnsi="Arial"/>
          <w:b/>
          <w:bCs/>
          <w:color w:val="1B3C65"/>
          <w:sz w:val="16"/>
          <w:szCs w:val="16"/>
        </w:rPr>
        <w:t xml:space="preserve">6. Roles and enforcement</w:t>
      </w:r>
    </w:p>
    <w:p>
      <w:pPr>
        <w:spacing w:after="0" w:line="218"/>
      </w:pPr>
      <w:r>
        <w:rPr>
          <w:rFonts w:ascii="Arial" w:cs="Arial" w:eastAsia="Arial" w:hAnsi="Arial"/>
          <w:color w:val="0E2140"/>
          <w:sz w:val="14"/>
          <w:szCs w:val="14"/>
        </w:rPr>
        <w:t xml:space="preserve">Media custodian, [Title]: inventory and log. Information security, [Title]: policy, reconciliation, validation. Records management, [Title]: retention. Privacy or compliance, [Title]: holds. Sanitization personnel are trained before working alone; every employee reports unaccounted-for media immediately; violations: [HR policy]. Reviewed annually and when NIST SP 800-88 or a regulation changes.</w:t>
      </w:r>
    </w:p>
    <w:sectPr>
      <w:footerReference w:type="default" r:id="rId7"/>
      <w:pgSz w:w="12240" w:h="15840" w:orient="portrait"/>
      <w:pgMar w:top="420" w:right="820" w:bottom="380" w:left="8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FE6" w:sz="4" w:space="4"/>
      </w:pBdr>
      <w:spacing w:before="60"/>
      <w:jc w:val="left"/>
    </w:pPr>
    <w:r>
      <w:rPr>
        <w:rFonts w:ascii="Arial" w:cs="Arial" w:eastAsia="Arial" w:hAnsi="Arial"/>
        <w:color w:val="5F6F82"/>
        <w:sz w:val="13"/>
        <w:szCs w:val="13"/>
      </w:rPr>
      <w:t xml:space="preserve">Template provided by Mansfield Technologies LLC, Mansfield, Ohio. www.mansfieldtech.us. </w:t>
    </w:r>
    <w:r>
      <w:rPr>
        <w:rFonts w:ascii="Arial" w:cs="Arial" w:eastAsia="Arial" w:hAnsi="Arial"/>
        <w:color w:val="5F6F82"/>
        <w:sz w:val="13"/>
        <w:szCs w:val="13"/>
      </w:rPr>
      <w:t xml:space="preserve">High-categorization edition. A starting point, not legal advice. Anchors: HIPAA 164.310(d); GLBA/Safeguards; FACTA; CJIS Media Protection; NIST 800-171 3.8; IRS 1075; DCSA CUI destruction guidance (2022); NIST SP 800-88r2 4.1, 4.5, 4.6, App. 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E2140"/>
        <w:sz w:val="17"/>
        <w:szCs w:val="17"/>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2026-09-22T16:18:50.649Z</dcterms:created>
  <dcterms:modified xsi:type="dcterms:W3CDTF">2026-09-22T16:18:50.650Z</dcterms:modified>
</cp:coreProperties>
</file>

<file path=docProps/custom.xml><?xml version="1.0" encoding="utf-8"?>
<Properties xmlns="http://schemas.openxmlformats.org/officeDocument/2006/custom-properties" xmlns:vt="http://schemas.openxmlformats.org/officeDocument/2006/docPropsVTypes"/>
</file>