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color w:val="1B3C65"/>
          <w:sz w:val="28"/>
          <w:szCs w:val="28"/>
        </w:rPr>
        <w:t xml:space="preserve">DATA PROCESSING AGREEMENT</w:t>
      </w:r>
      <w:r>
        <w:rPr>
          <w:rFonts w:ascii="Arial" w:cs="Arial" w:eastAsia="Arial" w:hAnsi="Arial"/>
          <w:color w:val="5F6F82"/>
          <w:sz w:val="18"/>
          <w:szCs w:val="18"/>
        </w:rPr>
        <w:t xml:space="preserve">   For data destruction services</w:t>
      </w:r>
    </w:p>
    <w:p>
      <w:pPr>
        <w:pBdr>
          <w:bottom w:val="single" w:color="F5B301" w:sz="8" w:space="4"/>
        </w:pBdr>
        <w:spacing w:after="120"/>
      </w:pPr>
      <w:r>
        <w:rPr>
          <w:rFonts w:ascii="Arial" w:cs="Arial" w:eastAsia="Arial" w:hAnsi="Arial"/>
          <w:color w:val="5F6F82"/>
          <w:sz w:val="15"/>
          <w:szCs w:val="15"/>
        </w:rPr>
        <w:t xml:space="preserve">GDPR Article 28 and UK GDPR. Standard form, Version 1.0, September 2026.</w:t>
      </w:r>
    </w:p>
    <w:p>
      <w:pPr>
        <w:spacing w:after="90" w:line="258"/>
      </w:pPr>
      <w:r>
        <w:rPr>
          <w:rFonts w:ascii="Arial" w:cs="Arial" w:eastAsia="Arial" w:hAnsi="Arial"/>
          <w:color w:val="0E2140"/>
          <w:sz w:val="18"/>
          <w:szCs w:val="18"/>
        </w:rPr>
        <w:t xml:space="preserve">This Data Processing Agreement (the “DPA”) is entered into as of ____________________ between ______________________________________ (“Controller”) and Mansfield Technologies LLC, an Ohio limited liability company (“Processor”). It supplements the Service Agreement, quote, or purchase order under which Processor destroys information storage media for Controller (the “Services”) and applies to the extent the media contains personal data protected by the EU General Data Protection Regulation (GDPR), the UK GDPR, or a similar law that requires processor terms.</w:t>
      </w:r>
    </w:p>
    <w:p>
      <w:pPr>
        <w:spacing w:after="60" w:before="170"/>
      </w:pPr>
      <w:r>
        <w:rPr>
          <w:rFonts w:ascii="Arial" w:cs="Arial" w:eastAsia="Arial" w:hAnsi="Arial"/>
          <w:b/>
          <w:bCs/>
          <w:color w:val="1B3C65"/>
          <w:sz w:val="21"/>
          <w:szCs w:val="21"/>
        </w:rPr>
        <w:t xml:space="preserve">1. Nature of the processing</w:t>
      </w:r>
    </w:p>
    <w:p>
      <w:pPr>
        <w:spacing w:after="90" w:line="258"/>
      </w:pPr>
      <w:r>
        <w:rPr>
          <w:rFonts w:ascii="Arial" w:cs="Arial" w:eastAsia="Arial" w:hAnsi="Arial"/>
          <w:color w:val="0E2140"/>
          <w:sz w:val="18"/>
          <w:szCs w:val="18"/>
        </w:rPr>
        <w:t xml:space="preserve">Processor’s only processing activity is the physical destruction of storage media that Controller delivers to it, at Controller’s premises or at Processor’s receiving location for mailed media, in accordance with NIST SP 800-88 Rev. 2 or the standard in the Services. Processor does not access, read, image, copy, index, or retain the contents of media. Personal data is within Processor’s custody only for the period between receipt of the media and its destruction, which for mailed media is no more than five business days and for on-site services is the duration of the visit. The categories of data subjects and of personal data are whatever Controller stored on the media; Processor does not know and does not need to know what they are.</w:t>
      </w:r>
    </w:p>
    <w:p>
      <w:pPr>
        <w:spacing w:after="60" w:before="170"/>
      </w:pPr>
      <w:r>
        <w:rPr>
          <w:rFonts w:ascii="Arial" w:cs="Arial" w:eastAsia="Arial" w:hAnsi="Arial"/>
          <w:b/>
          <w:bCs/>
          <w:color w:val="1B3C65"/>
          <w:sz w:val="21"/>
          <w:szCs w:val="21"/>
        </w:rPr>
        <w:t xml:space="preserve">2. Instructions</w:t>
      </w:r>
    </w:p>
    <w:p>
      <w:pPr>
        <w:spacing w:after="90" w:line="258"/>
      </w:pPr>
      <w:r>
        <w:rPr>
          <w:rFonts w:ascii="Arial" w:cs="Arial" w:eastAsia="Arial" w:hAnsi="Arial"/>
          <w:color w:val="0E2140"/>
          <w:sz w:val="18"/>
          <w:szCs w:val="18"/>
        </w:rPr>
        <w:t xml:space="preserve">Processor processes personal data only on Controller’s documented instructions, which are: to receive the media, keep it secure, destroy it, and document the destruction. Delivery of media to Processor is Controller’s instruction to destroy it. Processor will inform Controller if, in its opinion, an instruction infringes the GDPR, and will not act on that instruction until resolved.</w:t>
      </w:r>
    </w:p>
    <w:p>
      <w:pPr>
        <w:spacing w:after="60" w:before="170"/>
      </w:pPr>
      <w:r>
        <w:rPr>
          <w:rFonts w:ascii="Arial" w:cs="Arial" w:eastAsia="Arial" w:hAnsi="Arial"/>
          <w:b/>
          <w:bCs/>
          <w:color w:val="1B3C65"/>
          <w:sz w:val="21"/>
          <w:szCs w:val="21"/>
        </w:rPr>
        <w:t xml:space="preserve">3. Confidentiality</w:t>
      </w:r>
    </w:p>
    <w:p>
      <w:pPr>
        <w:spacing w:after="90" w:line="258"/>
      </w:pPr>
      <w:r>
        <w:rPr>
          <w:rFonts w:ascii="Arial" w:cs="Arial" w:eastAsia="Arial" w:hAnsi="Arial"/>
          <w:color w:val="0E2140"/>
          <w:sz w:val="18"/>
          <w:szCs w:val="18"/>
        </w:rPr>
        <w:t xml:space="preserve">Processor ensures that every person it authorizes to handle Controller’s media is bound by a duty of confidentiality and has passed a criminal background check. Processor does not disclose the serial numbers, asset records, or any other information about Controller’s media to anyone but Controller, except as required by law.</w:t>
      </w:r>
    </w:p>
    <w:p>
      <w:pPr>
        <w:spacing w:after="60" w:before="170"/>
      </w:pPr>
      <w:r>
        <w:rPr>
          <w:rFonts w:ascii="Arial" w:cs="Arial" w:eastAsia="Arial" w:hAnsi="Arial"/>
          <w:b/>
          <w:bCs/>
          <w:color w:val="1B3C65"/>
          <w:sz w:val="21"/>
          <w:szCs w:val="21"/>
        </w:rPr>
        <w:t xml:space="preserve">4. Security (Article 32)</w:t>
      </w:r>
    </w:p>
    <w:p>
      <w:pPr>
        <w:spacing w:after="90" w:line="258"/>
      </w:pPr>
      <w:r>
        <w:rPr>
          <w:rFonts w:ascii="Arial" w:cs="Arial" w:eastAsia="Arial" w:hAnsi="Arial"/>
          <w:color w:val="0E2140"/>
          <w:sz w:val="18"/>
          <w:szCs w:val="18"/>
        </w:rPr>
        <w:t xml:space="preserve">Processor implements the following measures, which the parties agree are appropriate to the risk of processing that consists of destruction:</w:t>
      </w:r>
    </w:p>
    <w:p>
      <w:pPr>
        <w:pStyle w:val="ListParagraph"/>
        <w:numPr>
          <w:ilvl w:val="0"/>
          <w:numId w:val="2"/>
        </w:numPr>
        <w:spacing w:after="40" w:line="250"/>
      </w:pPr>
      <w:r>
        <w:rPr>
          <w:rFonts w:ascii="Arial" w:cs="Arial" w:eastAsia="Arial" w:hAnsi="Arial"/>
          <w:color w:val="0E2140"/>
          <w:sz w:val="18"/>
          <w:szCs w:val="18"/>
        </w:rPr>
        <w:t xml:space="preserve">On-site: media stays in Controller’s custody until it enters the destruction equipment; destruction is witnessed by Controller’s representative; two Processor technicians handle every item.</w:t>
      </w:r>
    </w:p>
    <w:p>
      <w:pPr>
        <w:pStyle w:val="ListParagraph"/>
        <w:numPr>
          <w:ilvl w:val="0"/>
          <w:numId w:val="2"/>
        </w:numPr>
        <w:spacing w:after="40" w:line="250"/>
      </w:pPr>
      <w:r>
        <w:rPr>
          <w:rFonts w:ascii="Arial" w:cs="Arial" w:eastAsia="Arial" w:hAnsi="Arial"/>
          <w:color w:val="0E2140"/>
          <w:sz w:val="18"/>
          <w:szCs w:val="18"/>
        </w:rPr>
        <w:t xml:space="preserve">Mailed media: sealed packages are photographed on arrival, tamper-evident seal numbers are recorded before opening, and media is stored in a locked, access-controlled area until destroyed within five business days.</w:t>
      </w:r>
    </w:p>
    <w:p>
      <w:pPr>
        <w:pStyle w:val="ListParagraph"/>
        <w:numPr>
          <w:ilvl w:val="0"/>
          <w:numId w:val="2"/>
        </w:numPr>
        <w:spacing w:after="40" w:line="250"/>
      </w:pPr>
      <w:r>
        <w:rPr>
          <w:rFonts w:ascii="Arial" w:cs="Arial" w:eastAsia="Arial" w:hAnsi="Arial"/>
          <w:color w:val="0E2140"/>
          <w:sz w:val="18"/>
          <w:szCs w:val="18"/>
        </w:rPr>
        <w:t xml:space="preserve">Destruction: magnetic media is degaussed on equipment listed on the NSA/CSS Evaluated Products List and then shredded; solid-state media is disintegrated to particles under 2 mm; output is inspected and the job validated before the certificate issues.</w:t>
      </w:r>
    </w:p>
    <w:p>
      <w:pPr>
        <w:pStyle w:val="ListParagraph"/>
        <w:numPr>
          <w:ilvl w:val="0"/>
          <w:numId w:val="2"/>
        </w:numPr>
        <w:spacing w:after="40" w:line="250"/>
      </w:pPr>
      <w:r>
        <w:rPr>
          <w:rFonts w:ascii="Arial" w:cs="Arial" w:eastAsia="Arial" w:hAnsi="Arial"/>
          <w:color w:val="0E2140"/>
          <w:sz w:val="18"/>
          <w:szCs w:val="18"/>
        </w:rPr>
        <w:t xml:space="preserve">Records: a Certificate of Destruction and media log listing every item by serial number, method, equipment, date, and technicians, retained for six years and available to Controller on request.</w:t>
      </w:r>
    </w:p>
    <w:p>
      <w:pPr>
        <w:pStyle w:val="ListParagraph"/>
        <w:numPr>
          <w:ilvl w:val="0"/>
          <w:numId w:val="2"/>
        </w:numPr>
        <w:spacing w:after="40" w:line="250"/>
      </w:pPr>
      <w:r>
        <w:rPr>
          <w:rFonts w:ascii="Arial" w:cs="Arial" w:eastAsia="Arial" w:hAnsi="Arial"/>
          <w:color w:val="0E2140"/>
          <w:sz w:val="18"/>
          <w:szCs w:val="18"/>
        </w:rPr>
        <w:t xml:space="preserve">Personnel: U.S. citizens with criminal background checks, trained on the equipment and on this DPA before working alone; no personal electronics near Controller’s media; no photography on Controller’s premises.</w:t>
      </w:r>
    </w:p>
    <w:p>
      <w:pPr>
        <w:spacing w:after="60" w:before="170"/>
      </w:pPr>
      <w:r>
        <w:rPr>
          <w:rFonts w:ascii="Arial" w:cs="Arial" w:eastAsia="Arial" w:hAnsi="Arial"/>
          <w:b/>
          <w:bCs/>
          <w:color w:val="1B3C65"/>
          <w:sz w:val="21"/>
          <w:szCs w:val="21"/>
        </w:rPr>
        <w:t xml:space="preserve">5. Sub-processors</w:t>
      </w:r>
    </w:p>
    <w:p>
      <w:pPr>
        <w:spacing w:after="90" w:line="258"/>
      </w:pPr>
      <w:r>
        <w:rPr>
          <w:rFonts w:ascii="Arial" w:cs="Arial" w:eastAsia="Arial" w:hAnsi="Arial"/>
          <w:color w:val="0E2140"/>
          <w:sz w:val="18"/>
          <w:szCs w:val="18"/>
        </w:rPr>
        <w:t xml:space="preserve">Processor does not use sub-processors to process personal data. Recycling partners receive only destroyed material from which personal data cannot be recovered and are not sub-processors. Carriers that transport sealed packages do not have access to the contents and are not sub-processors. If Processor proposes to engage a sub-processor in the future, it will give Controller at least 30 days’ written notice and the right to object.</w:t>
      </w:r>
    </w:p>
    <w:p>
      <w:pPr>
        <w:spacing w:after="60" w:before="170"/>
      </w:pPr>
      <w:r>
        <w:rPr>
          <w:rFonts w:ascii="Arial" w:cs="Arial" w:eastAsia="Arial" w:hAnsi="Arial"/>
          <w:b/>
          <w:bCs/>
          <w:color w:val="1B3C65"/>
          <w:sz w:val="21"/>
          <w:szCs w:val="21"/>
        </w:rPr>
        <w:t xml:space="preserve">6. Assistance to Controller</w:t>
      </w:r>
    </w:p>
    <w:p>
      <w:pPr>
        <w:spacing w:after="90" w:line="258"/>
      </w:pPr>
      <w:r>
        <w:rPr>
          <w:rFonts w:ascii="Arial" w:cs="Arial" w:eastAsia="Arial" w:hAnsi="Arial"/>
          <w:color w:val="0E2140"/>
          <w:sz w:val="18"/>
          <w:szCs w:val="18"/>
        </w:rPr>
        <w:t xml:space="preserve">Because Processor does not access the contents of media, it cannot respond to data subject requests for access, rectification, erasure, restriction, portability, or objection; it will forward any such request received to Controller within five business days. Processor will assist Controller with its obligations under Articles 32 to 36 (security, breach notification, data protection impact assessments, and prior consultation) to the extent they concern the Services, by providing the records in section 4 and any further information reasonably requested.</w:t>
      </w:r>
    </w:p>
    <w:p>
      <w:pPr>
        <w:spacing w:after="60" w:before="170"/>
      </w:pPr>
      <w:r>
        <w:rPr>
          <w:rFonts w:ascii="Arial" w:cs="Arial" w:eastAsia="Arial" w:hAnsi="Arial"/>
          <w:b/>
          <w:bCs/>
          <w:color w:val="1B3C65"/>
          <w:sz w:val="21"/>
          <w:szCs w:val="21"/>
        </w:rPr>
        <w:t xml:space="preserve">7. Personal data breach</w:t>
      </w:r>
    </w:p>
    <w:p>
      <w:pPr>
        <w:spacing w:after="90" w:line="258"/>
      </w:pPr>
      <w:r>
        <w:rPr>
          <w:rFonts w:ascii="Arial" w:cs="Arial" w:eastAsia="Arial" w:hAnsi="Arial"/>
          <w:color w:val="0E2140"/>
          <w:sz w:val="18"/>
          <w:szCs w:val="18"/>
        </w:rPr>
        <w:t xml:space="preserve">Processor will notify Controller without undue delay, and in any case within 48 hours, after becoming aware of a personal data breach affecting Controller’s media, including loss of or unauthorized access to media in its custody, and will provide the information Controller needs to meet Article 33 and 34, updating it as the facts develop. Media that is destroyed cannot be the subject of a breach; the window of exposure is the custody period in section 1.</w:t>
      </w:r>
    </w:p>
    <w:p>
      <w:pPr>
        <w:spacing w:after="60" w:before="170"/>
      </w:pPr>
      <w:r>
        <w:rPr>
          <w:rFonts w:ascii="Arial" w:cs="Arial" w:eastAsia="Arial" w:hAnsi="Arial"/>
          <w:b/>
          <w:bCs/>
          <w:color w:val="1B3C65"/>
          <w:sz w:val="21"/>
          <w:szCs w:val="21"/>
        </w:rPr>
        <w:t xml:space="preserve">8. Deletion and return</w:t>
      </w:r>
    </w:p>
    <w:p>
      <w:pPr>
        <w:spacing w:after="90" w:line="258"/>
      </w:pPr>
      <w:r>
        <w:rPr>
          <w:rFonts w:ascii="Arial" w:cs="Arial" w:eastAsia="Arial" w:hAnsi="Arial"/>
          <w:color w:val="0E2140"/>
          <w:sz w:val="18"/>
          <w:szCs w:val="18"/>
        </w:rPr>
        <w:t xml:space="preserve">The Services are the deletion. On completion, all personal data on the media has been destroyed and the Certificate of Destruction is Controller’s record of it. Processor retains no copies of personal data. Processor retains the certificate and media log, which contain no personal data, for six years or as required by law.</w:t>
      </w:r>
    </w:p>
    <w:p>
      <w:pPr>
        <w:spacing w:after="60" w:before="170"/>
      </w:pPr>
      <w:r>
        <w:rPr>
          <w:rFonts w:ascii="Arial" w:cs="Arial" w:eastAsia="Arial" w:hAnsi="Arial"/>
          <w:b/>
          <w:bCs/>
          <w:color w:val="1B3C65"/>
          <w:sz w:val="21"/>
          <w:szCs w:val="21"/>
        </w:rPr>
        <w:t xml:space="preserve">9. Audits and information</w:t>
      </w:r>
    </w:p>
    <w:p>
      <w:pPr>
        <w:spacing w:after="90" w:line="258"/>
      </w:pPr>
      <w:r>
        <w:rPr>
          <w:rFonts w:ascii="Arial" w:cs="Arial" w:eastAsia="Arial" w:hAnsi="Arial"/>
          <w:color w:val="0E2140"/>
          <w:sz w:val="18"/>
          <w:szCs w:val="18"/>
        </w:rPr>
        <w:t xml:space="preserve">Processor will make available to Controller the information necessary to demonstrate compliance with Article 28, including the records in section 4, the NSA/CSS Evaluated Products List entries for its equipment, its insurance certificates, and its personnel screening practices. Controller or an auditor it mandates may inspect the destruction equipment and the process at the time of service, and may audit Processor’s records on reasonable notice not more than once a year unless a breach or a supervisory authority requires otherwise.</w:t>
      </w:r>
    </w:p>
    <w:p>
      <w:pPr>
        <w:spacing w:after="60" w:before="170"/>
      </w:pPr>
      <w:r>
        <w:rPr>
          <w:rFonts w:ascii="Arial" w:cs="Arial" w:eastAsia="Arial" w:hAnsi="Arial"/>
          <w:b/>
          <w:bCs/>
          <w:color w:val="1B3C65"/>
          <w:sz w:val="21"/>
          <w:szCs w:val="21"/>
        </w:rPr>
        <w:t xml:space="preserve">10. International transfers</w:t>
      </w:r>
    </w:p>
    <w:p>
      <w:pPr>
        <w:spacing w:after="90" w:line="258"/>
      </w:pPr>
      <w:r>
        <w:rPr>
          <w:rFonts w:ascii="Arial" w:cs="Arial" w:eastAsia="Arial" w:hAnsi="Arial"/>
          <w:color w:val="0E2140"/>
          <w:sz w:val="18"/>
          <w:szCs w:val="18"/>
        </w:rPr>
        <w:t xml:space="preserve">Processor is located in the United States. Where the media contains personal data of data subjects in the European Economic Area or the United Kingdom, the parties agree that the delivery of media to Processor for destruction is a transfer, and: (a) for EEA data, the Standard Contractual Clauses adopted by Commission Decision (EU) 2021/914, Module Two (controller to processor), are incorporated by reference with Controller as data exporter and Processor as data importer, the optional docking clause not applying, Clause 9 Option 2 with 30 days’ notice, Clause 13 governed by the supervisory authority of Controller’s establishment, and Clause 17 and 18 governed by the law and courts of Ireland; and (b) for UK data, the UK International Data Transfer Addendum to the EU SCCs, issued by the Information Commissioner under section 119A of the Data Protection Act 2018, is incorporated by reference. The transfer impact assessment is short: Processor does not access the contents of media, the data is destroyed within days, and no U.S. authority has a practical means of obtaining data from media that no longer exists. The parties will execute a separate signed copy of the SCCs or the Addendum if Controller’s supervisory authority or policy requires it.</w:t>
      </w:r>
    </w:p>
    <w:p>
      <w:pPr>
        <w:spacing w:after="60" w:before="170"/>
      </w:pPr>
      <w:r>
        <w:rPr>
          <w:rFonts w:ascii="Arial" w:cs="Arial" w:eastAsia="Arial" w:hAnsi="Arial"/>
          <w:b/>
          <w:bCs/>
          <w:color w:val="1B3C65"/>
          <w:sz w:val="21"/>
          <w:szCs w:val="21"/>
        </w:rPr>
        <w:t xml:space="preserve">11. Term and general</w:t>
      </w:r>
    </w:p>
    <w:p>
      <w:pPr>
        <w:spacing w:after="90" w:line="258"/>
      </w:pPr>
      <w:r>
        <w:rPr>
          <w:rFonts w:ascii="Arial" w:cs="Arial" w:eastAsia="Arial" w:hAnsi="Arial"/>
          <w:color w:val="0E2140"/>
          <w:sz w:val="18"/>
          <w:szCs w:val="18"/>
        </w:rPr>
        <w:t xml:space="preserve">This DPA applies for as long as Processor holds Controller’s media and, for sections 3, 8, and 9, thereafter. It is governed by the law that governs the Services, except that the SCCs and the UK Addendum are governed as stated in section 10. If this DPA conflicts with the Services, this DPA controls for personal data protected by the GDPR or the UK GDPR. Nothing in this DPA reduces either party’s obligations under those laws.</w:t>
      </w:r>
    </w:p>
    <w:p>
      <w:pPr>
        <w:spacing w:after="60" w:before="160"/>
      </w:pPr>
      <w:r>
        <w:rPr>
          <w:rFonts w:ascii="Arial" w:cs="Arial" w:eastAsia="Arial" w:hAnsi="Arial"/>
          <w:b/>
          <w:bCs/>
          <w:color w:val="1B3C65"/>
          <w:sz w:val="21"/>
          <w:szCs w:val="21"/>
        </w:rPr>
        <w:t xml:space="preserve">Signed</w:t>
      </w:r>
    </w:p>
    <w:p>
      <w:pPr>
        <w:spacing w:after="90" w:line="258"/>
      </w:pPr>
      <w:r>
        <w:rPr>
          <w:rFonts w:ascii="Arial" w:cs="Arial" w:eastAsia="Arial" w:hAnsi="Arial"/>
          <w:color w:val="0E2140"/>
          <w:sz w:val="18"/>
          <w:szCs w:val="18"/>
        </w:rPr>
        <w:t xml:space="preserve">CONTROLLER: ______________________________________   By: ____________________________   Title: __________________   Date: ______________</w:t>
      </w:r>
    </w:p>
    <w:p>
      <w:pPr>
        <w:spacing w:after="90" w:line="258"/>
      </w:pPr>
      <w:r>
        <w:rPr>
          <w:rFonts w:ascii="Arial" w:cs="Arial" w:eastAsia="Arial" w:hAnsi="Arial"/>
          <w:color w:val="0E2140"/>
          <w:sz w:val="18"/>
          <w:szCs w:val="18"/>
        </w:rPr>
        <w:t xml:space="preserve">MANSFIELD TECHNOLOGIES LLC (Processor)   By: ____________________________   Title: __________________   Date: ______________</w:t>
      </w:r>
    </w:p>
    <w:p>
      <w:pPr>
        <w:spacing w:after="90" w:line="258"/>
      </w:pPr>
      <w:r>
        <w:rPr>
          <w:rFonts w:ascii="Arial" w:cs="Arial" w:eastAsia="Arial" w:hAnsi="Arial"/>
          <w:color w:val="5F6F82"/>
          <w:sz w:val="16"/>
          <w:szCs w:val="16"/>
        </w:rPr>
        <w:t xml:space="preserve">Standard form for review by counsel. Mansfield Technologies will also sign a controller’s own processor terms on request.</w:t>
      </w:r>
    </w:p>
    <w:sectPr>
      <w:footerReference w:type="default" r:id="rId7"/>
      <w:pgSz w:w="12240" w:h="15840" w:orient="portrait"/>
      <w:pgMar w:top="880" w:right="900" w:bottom="7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FE6" w:sz="4" w:space="4"/>
      </w:pBdr>
      <w:spacing w:before="60"/>
    </w:pPr>
    <w:r>
      <w:rPr>
        <w:rFonts w:ascii="Arial" w:cs="Arial" w:eastAsia="Arial" w:hAnsi="Arial"/>
        <w:color w:val="5F6F82"/>
        <w:sz w:val="14"/>
        <w:szCs w:val="14"/>
      </w:rPr>
      <w:t xml:space="preserve">Mansfield Technologies LLC, Mansfield, Ohio. contact@mansfieldtech.us. www.mansfieldtech.us. Data Processing Agreement v1.0. Page </w:t>
    </w:r>
    <w:r>
      <w:rPr>
        <w:rFonts w:ascii="Arial" w:cs="Arial" w:eastAsia="Arial" w:hAnsi="Arial"/>
        <w:color w:val="5F6F82"/>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E214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2026-09-23T14:06:50.794Z</dcterms:created>
  <dcterms:modified xsi:type="dcterms:W3CDTF">2026-09-23T14:06:50.806Z</dcterms:modified>
</cp:coreProperties>
</file>

<file path=docProps/custom.xml><?xml version="1.0" encoding="utf-8"?>
<Properties xmlns="http://schemas.openxmlformats.org/officeDocument/2006/custom-properties" xmlns:vt="http://schemas.openxmlformats.org/officeDocument/2006/docPropsVTypes"/>
</file>